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F8DC3" w14:textId="43796062" w:rsidR="00112458" w:rsidRPr="001433B1" w:rsidRDefault="00112458" w:rsidP="00112458">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1433B1">
        <w:rPr>
          <w:rFonts w:ascii="Arial" w:hAnsi="Arial" w:cs="Arial"/>
          <w:b/>
          <w:sz w:val="24"/>
          <w:szCs w:val="24"/>
          <w:lang w:val="en-GB"/>
        </w:rPr>
        <w:t>3GPP TSG-RAN WG4 Meeting #</w:t>
      </w:r>
      <w:r w:rsidRPr="001433B1">
        <w:rPr>
          <w:lang w:val="en-GB"/>
        </w:rPr>
        <w:t xml:space="preserve"> </w:t>
      </w:r>
      <w:r w:rsidRPr="001433B1">
        <w:rPr>
          <w:rFonts w:ascii="Arial" w:hAnsi="Arial" w:cs="Arial"/>
          <w:b/>
          <w:sz w:val="24"/>
          <w:szCs w:val="24"/>
          <w:lang w:val="en-GB"/>
        </w:rPr>
        <w:t>10</w:t>
      </w:r>
      <w:r>
        <w:rPr>
          <w:rFonts w:ascii="Arial" w:hAnsi="Arial" w:cs="Arial"/>
          <w:b/>
          <w:sz w:val="24"/>
          <w:szCs w:val="24"/>
          <w:lang w:val="en-GB"/>
        </w:rPr>
        <w:t>1bis</w:t>
      </w:r>
      <w:r w:rsidRPr="001433B1">
        <w:rPr>
          <w:rFonts w:ascii="Arial" w:hAnsi="Arial" w:cs="Arial"/>
          <w:b/>
          <w:sz w:val="24"/>
          <w:szCs w:val="24"/>
          <w:lang w:val="en-GB"/>
        </w:rPr>
        <w:t xml:space="preserve">-e </w:t>
      </w:r>
      <w:r w:rsidRPr="001433B1">
        <w:rPr>
          <w:rFonts w:ascii="Arial" w:hAnsi="Arial" w:cs="Arial"/>
          <w:b/>
          <w:sz w:val="24"/>
          <w:szCs w:val="24"/>
          <w:lang w:val="en-GB"/>
        </w:rPr>
        <w:tab/>
        <w:t>R4-2</w:t>
      </w:r>
      <w:r>
        <w:rPr>
          <w:rFonts w:ascii="Arial" w:hAnsi="Arial" w:cs="Arial"/>
          <w:b/>
          <w:sz w:val="24"/>
          <w:szCs w:val="24"/>
          <w:lang w:val="en-GB"/>
        </w:rPr>
        <w:t>20</w:t>
      </w:r>
      <w:r w:rsidR="00C345C3">
        <w:rPr>
          <w:rFonts w:ascii="Arial" w:hAnsi="Arial" w:cs="Arial"/>
          <w:b/>
          <w:sz w:val="24"/>
          <w:szCs w:val="24"/>
          <w:lang w:val="en-GB"/>
        </w:rPr>
        <w:t>1978</w:t>
      </w:r>
    </w:p>
    <w:p w14:paraId="35FE7770" w14:textId="77777777" w:rsidR="00112458" w:rsidRPr="001433B1" w:rsidRDefault="00112458" w:rsidP="00112458">
      <w:pPr>
        <w:pStyle w:val="Header"/>
        <w:tabs>
          <w:tab w:val="right" w:pos="9781"/>
          <w:tab w:val="right" w:pos="13323"/>
        </w:tabs>
        <w:outlineLvl w:val="0"/>
        <w:rPr>
          <w:rFonts w:ascii="Arial" w:eastAsia="SimSun" w:hAnsi="Arial" w:cs="Times New Roman"/>
          <w:b/>
          <w:sz w:val="24"/>
          <w:szCs w:val="24"/>
          <w:lang w:val="en-GB" w:eastAsia="zh-CN"/>
        </w:rPr>
      </w:pPr>
      <w:r w:rsidRPr="001433B1">
        <w:rPr>
          <w:rFonts w:ascii="Arial" w:eastAsia="SimSun" w:hAnsi="Arial"/>
          <w:b/>
          <w:sz w:val="24"/>
          <w:szCs w:val="24"/>
          <w:lang w:val="en-GB" w:eastAsia="zh-CN"/>
        </w:rPr>
        <w:t xml:space="preserve">Electronic Meeting, </w:t>
      </w:r>
      <w:r w:rsidRPr="004E2857">
        <w:rPr>
          <w:rFonts w:ascii="Arial" w:eastAsia="SimSun" w:hAnsi="Arial" w:cs="Arial"/>
          <w:b/>
          <w:sz w:val="24"/>
          <w:szCs w:val="24"/>
          <w:lang w:eastAsia="zh-CN"/>
        </w:rPr>
        <w:t>January 17-25, 2022</w:t>
      </w:r>
    </w:p>
    <w:p w14:paraId="14D63011" w14:textId="77777777" w:rsidR="00841BCD" w:rsidRPr="00A31E1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A31E13" w:rsidRDefault="00841BCD" w:rsidP="00841BCD">
      <w:pPr>
        <w:tabs>
          <w:tab w:val="left" w:pos="1985"/>
        </w:tabs>
        <w:ind w:left="1985" w:hanging="1985"/>
        <w:rPr>
          <w:rFonts w:ascii="Arial" w:eastAsia="Calibri" w:hAnsi="Arial" w:cs="Arial"/>
          <w:b/>
          <w:bCs/>
          <w:sz w:val="24"/>
          <w:lang w:val="en-GB"/>
        </w:rPr>
      </w:pPr>
      <w:r w:rsidRPr="00A31E13">
        <w:rPr>
          <w:rFonts w:ascii="Arial" w:eastAsia="Calibri" w:hAnsi="Arial" w:cs="Arial"/>
          <w:b/>
          <w:bCs/>
          <w:sz w:val="24"/>
          <w:lang w:val="en-GB"/>
        </w:rPr>
        <w:t>Source:</w:t>
      </w:r>
      <w:r w:rsidRPr="00A31E13">
        <w:rPr>
          <w:rFonts w:ascii="Arial" w:eastAsia="Calibri" w:hAnsi="Arial" w:cs="Arial"/>
          <w:b/>
          <w:bCs/>
          <w:sz w:val="24"/>
          <w:lang w:val="en-GB"/>
        </w:rPr>
        <w:tab/>
        <w:t xml:space="preserve">Nokia, </w:t>
      </w:r>
      <w:r w:rsidR="0043750A" w:rsidRPr="00A31E13">
        <w:rPr>
          <w:rFonts w:ascii="Arial" w:eastAsia="Calibri" w:hAnsi="Arial" w:cs="Arial"/>
          <w:b/>
          <w:bCs/>
          <w:sz w:val="24"/>
          <w:lang w:val="en-GB"/>
        </w:rPr>
        <w:t>Nokia</w:t>
      </w:r>
      <w:r w:rsidRPr="00A31E13">
        <w:rPr>
          <w:rFonts w:ascii="Arial" w:eastAsia="Calibri" w:hAnsi="Arial" w:cs="Arial"/>
          <w:b/>
          <w:bCs/>
          <w:sz w:val="24"/>
          <w:lang w:val="en-GB"/>
        </w:rPr>
        <w:t xml:space="preserve"> Shanghai Bell</w:t>
      </w:r>
      <w:r w:rsidRPr="00A31E13" w:rsidDel="00636277">
        <w:rPr>
          <w:rFonts w:ascii="Arial" w:eastAsia="Calibri" w:hAnsi="Arial" w:cs="Arial"/>
          <w:b/>
          <w:bCs/>
          <w:sz w:val="24"/>
          <w:lang w:val="en-GB"/>
        </w:rPr>
        <w:t xml:space="preserve"> </w:t>
      </w:r>
    </w:p>
    <w:p w14:paraId="0293D51A" w14:textId="4F1039F7" w:rsidR="00841BCD" w:rsidRPr="00A31E13" w:rsidRDefault="00841BCD" w:rsidP="00841BCD">
      <w:pPr>
        <w:ind w:left="1985" w:hanging="1985"/>
        <w:rPr>
          <w:rFonts w:ascii="Arial" w:eastAsia="Calibri" w:hAnsi="Arial" w:cs="Arial"/>
          <w:b/>
          <w:bCs/>
          <w:sz w:val="24"/>
          <w:lang w:val="en-GB"/>
        </w:rPr>
      </w:pPr>
      <w:r w:rsidRPr="00A31E13">
        <w:rPr>
          <w:rFonts w:ascii="Arial" w:eastAsia="Calibri" w:hAnsi="Arial" w:cs="Arial"/>
          <w:b/>
          <w:bCs/>
          <w:sz w:val="24"/>
          <w:lang w:val="en-GB"/>
        </w:rPr>
        <w:t>Title:</w:t>
      </w:r>
      <w:r w:rsidRPr="00A31E13">
        <w:rPr>
          <w:rFonts w:ascii="Arial" w:eastAsia="Calibri" w:hAnsi="Arial" w:cs="Arial"/>
          <w:b/>
          <w:bCs/>
          <w:sz w:val="24"/>
          <w:lang w:val="en-GB"/>
        </w:rPr>
        <w:tab/>
      </w:r>
      <w:r w:rsidR="0038648B" w:rsidRPr="00A31E13">
        <w:rPr>
          <w:rFonts w:ascii="Arial" w:eastAsia="Calibri" w:hAnsi="Arial" w:cs="Arial"/>
          <w:b/>
          <w:bCs/>
          <w:sz w:val="24"/>
          <w:lang w:val="en-GB"/>
        </w:rPr>
        <w:t>Discussion on</w:t>
      </w:r>
      <w:r w:rsidR="00634966" w:rsidRPr="00A31E13">
        <w:rPr>
          <w:rFonts w:ascii="Arial" w:eastAsia="Calibri" w:hAnsi="Arial" w:cs="Arial"/>
          <w:b/>
          <w:bCs/>
          <w:sz w:val="24"/>
          <w:lang w:val="en-GB"/>
        </w:rPr>
        <w:t xml:space="preserve"> Network Controlled Small Gaps</w:t>
      </w:r>
      <w:r w:rsidR="00AC29D2" w:rsidRPr="00A31E13">
        <w:rPr>
          <w:rFonts w:ascii="Arial" w:eastAsia="Calibri" w:hAnsi="Arial" w:cs="Arial"/>
          <w:b/>
          <w:bCs/>
          <w:sz w:val="24"/>
          <w:lang w:val="en-GB"/>
        </w:rPr>
        <w:t xml:space="preserve"> </w:t>
      </w:r>
      <w:r w:rsidR="005F6262" w:rsidRPr="00A31E13">
        <w:rPr>
          <w:rFonts w:ascii="Arial" w:eastAsia="Calibri" w:hAnsi="Arial" w:cs="Arial"/>
          <w:b/>
          <w:bCs/>
          <w:sz w:val="24"/>
          <w:lang w:val="en-GB"/>
        </w:rPr>
        <w:t>for NR</w:t>
      </w:r>
    </w:p>
    <w:p w14:paraId="7C62E756" w14:textId="44607931" w:rsidR="00841BCD" w:rsidRPr="00A31E13" w:rsidRDefault="00841BCD" w:rsidP="00841BCD">
      <w:pPr>
        <w:tabs>
          <w:tab w:val="left" w:pos="1985"/>
        </w:tabs>
        <w:spacing w:after="120" w:line="240" w:lineRule="auto"/>
        <w:rPr>
          <w:rFonts w:ascii="Arial" w:eastAsia="MS Mincho" w:hAnsi="Arial" w:cs="Arial"/>
          <w:b/>
          <w:bCs/>
          <w:sz w:val="24"/>
          <w:szCs w:val="20"/>
          <w:lang w:val="en-GB"/>
        </w:rPr>
      </w:pPr>
      <w:r w:rsidRPr="00A31E13">
        <w:rPr>
          <w:rFonts w:ascii="Arial" w:eastAsia="MS Mincho" w:hAnsi="Arial" w:cs="Arial"/>
          <w:b/>
          <w:bCs/>
          <w:sz w:val="24"/>
          <w:szCs w:val="20"/>
          <w:lang w:val="en-GB"/>
        </w:rPr>
        <w:t>Agenda item:</w:t>
      </w:r>
      <w:r w:rsidRPr="00A31E13">
        <w:rPr>
          <w:rFonts w:ascii="Arial" w:eastAsia="MS Mincho" w:hAnsi="Arial" w:cs="Arial"/>
          <w:b/>
          <w:bCs/>
          <w:sz w:val="24"/>
          <w:szCs w:val="20"/>
          <w:lang w:val="en-GB"/>
        </w:rPr>
        <w:tab/>
      </w:r>
      <w:r w:rsidR="00112458">
        <w:rPr>
          <w:rFonts w:ascii="Arial" w:eastAsia="MS Mincho" w:hAnsi="Arial" w:cs="Arial"/>
          <w:b/>
          <w:bCs/>
          <w:sz w:val="24"/>
          <w:szCs w:val="20"/>
          <w:lang w:val="en-GB"/>
        </w:rPr>
        <w:t>6</w:t>
      </w:r>
      <w:r w:rsidR="007D6FC5" w:rsidRPr="002D38D1">
        <w:rPr>
          <w:rFonts w:ascii="Arial" w:eastAsia="MS Mincho" w:hAnsi="Arial" w:cs="Arial"/>
          <w:b/>
          <w:bCs/>
          <w:sz w:val="24"/>
          <w:szCs w:val="20"/>
          <w:lang w:val="en-GB"/>
        </w:rPr>
        <w:t>.1</w:t>
      </w:r>
      <w:r w:rsidR="002D38D1" w:rsidRPr="002D38D1">
        <w:rPr>
          <w:rFonts w:ascii="Arial" w:eastAsia="MS Mincho" w:hAnsi="Arial" w:cs="Arial"/>
          <w:b/>
          <w:bCs/>
          <w:sz w:val="24"/>
          <w:szCs w:val="20"/>
          <w:lang w:val="en-GB"/>
        </w:rPr>
        <w:t>1</w:t>
      </w:r>
      <w:r w:rsidR="007D6FC5" w:rsidRPr="002D38D1">
        <w:rPr>
          <w:rFonts w:ascii="Arial" w:eastAsia="MS Mincho" w:hAnsi="Arial" w:cs="Arial"/>
          <w:b/>
          <w:bCs/>
          <w:sz w:val="24"/>
          <w:szCs w:val="20"/>
          <w:lang w:val="en-GB"/>
        </w:rPr>
        <w:t>.2.3</w:t>
      </w:r>
    </w:p>
    <w:p w14:paraId="7951C47A" w14:textId="0CEE9EDE" w:rsidR="00841BCD" w:rsidRPr="00A31E13" w:rsidRDefault="00841BCD" w:rsidP="00841BCD">
      <w:pPr>
        <w:tabs>
          <w:tab w:val="left" w:pos="1985"/>
        </w:tabs>
        <w:rPr>
          <w:rFonts w:ascii="Arial" w:eastAsia="Calibri" w:hAnsi="Arial" w:cs="Arial"/>
          <w:b/>
          <w:bCs/>
          <w:sz w:val="24"/>
          <w:lang w:val="en-GB"/>
        </w:rPr>
      </w:pPr>
      <w:r w:rsidRPr="00A31E13">
        <w:rPr>
          <w:rFonts w:ascii="Arial" w:eastAsia="Calibri" w:hAnsi="Arial" w:cs="Arial"/>
          <w:b/>
          <w:bCs/>
          <w:sz w:val="24"/>
          <w:lang w:val="en-GB"/>
        </w:rPr>
        <w:t>Document for:</w:t>
      </w:r>
      <w:r w:rsidRPr="00A31E13">
        <w:rPr>
          <w:rFonts w:ascii="Arial" w:eastAsia="Calibri" w:hAnsi="Arial" w:cs="Arial"/>
          <w:b/>
          <w:bCs/>
          <w:sz w:val="24"/>
          <w:lang w:val="en-GB"/>
        </w:rPr>
        <w:tab/>
      </w:r>
      <w:r w:rsidR="007657EE" w:rsidRPr="00A31E13">
        <w:rPr>
          <w:rFonts w:ascii="Arial" w:eastAsia="Calibri" w:hAnsi="Arial" w:cs="Arial"/>
          <w:b/>
          <w:bCs/>
          <w:sz w:val="24"/>
          <w:lang w:val="en-GB"/>
        </w:rPr>
        <w:t>Discussion</w:t>
      </w:r>
    </w:p>
    <w:p w14:paraId="50EB855D" w14:textId="77777777" w:rsidR="00841BCD" w:rsidRPr="00A20564" w:rsidRDefault="00841BCD" w:rsidP="00A37002">
      <w:pPr>
        <w:pStyle w:val="RAN4H1"/>
      </w:pPr>
      <w:r w:rsidRPr="00A20564">
        <w:t>Intro</w:t>
      </w:r>
      <w:r w:rsidRPr="00A20564">
        <w:rPr>
          <w:rStyle w:val="RAN4H1Char"/>
        </w:rPr>
        <w:t>ductio</w:t>
      </w:r>
      <w:r w:rsidRPr="00A20564">
        <w:t>n</w:t>
      </w:r>
    </w:p>
    <w:p w14:paraId="6081E1F6" w14:textId="01228464" w:rsidR="004048FA" w:rsidRPr="00A31E13" w:rsidRDefault="004048FA" w:rsidP="004048FA">
      <w:pPr>
        <w:spacing w:before="60" w:after="6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At RAN4 #</w:t>
      </w:r>
      <w:r w:rsidR="00841CBB">
        <w:rPr>
          <w:rFonts w:eastAsia="Calibri" w:cs="Times New Roman"/>
          <w:color w:val="000000" w:themeColor="text1"/>
          <w:szCs w:val="20"/>
          <w:lang w:val="en-GB"/>
        </w:rPr>
        <w:t>10</w:t>
      </w:r>
      <w:r w:rsidR="00112458">
        <w:rPr>
          <w:rFonts w:eastAsia="Calibri" w:cs="Times New Roman"/>
          <w:color w:val="000000" w:themeColor="text1"/>
          <w:szCs w:val="20"/>
          <w:lang w:val="en-GB"/>
        </w:rPr>
        <w:t>1</w:t>
      </w:r>
      <w:r w:rsidR="007D6FC5" w:rsidRPr="00A31E13">
        <w:rPr>
          <w:rFonts w:eastAsia="Calibri" w:cs="Times New Roman"/>
          <w:color w:val="000000" w:themeColor="text1"/>
          <w:szCs w:val="20"/>
          <w:lang w:val="en-GB"/>
        </w:rPr>
        <w:t>-</w:t>
      </w:r>
      <w:r w:rsidRPr="00A31E13">
        <w:rPr>
          <w:rFonts w:eastAsia="Calibri" w:cs="Times New Roman"/>
          <w:color w:val="000000" w:themeColor="text1"/>
          <w:szCs w:val="20"/>
          <w:lang w:val="en-GB"/>
        </w:rPr>
        <w:t>e, the technical discussion on Network Controlled Small Gaps as part of the Rel-17 work item on NR and MR-DC measurement gap enhancements</w:t>
      </w:r>
      <w:r w:rsidR="00112458">
        <w:rPr>
          <w:lang w:val="en-GB"/>
        </w:rPr>
        <w:t>, revised at RAN #94e</w:t>
      </w:r>
      <w:r w:rsidR="00112458" w:rsidRPr="001433B1">
        <w:rPr>
          <w:lang w:val="en-GB"/>
        </w:rPr>
        <w:t xml:space="preserve"> [1]</w:t>
      </w:r>
      <w:r w:rsidR="00112458">
        <w:rPr>
          <w:lang w:val="en-GB"/>
        </w:rPr>
        <w:t>,</w:t>
      </w:r>
      <w:r w:rsidR="00112458" w:rsidRPr="001433B1">
        <w:rPr>
          <w:lang w:val="en-GB"/>
        </w:rPr>
        <w:t xml:space="preserve"> </w:t>
      </w:r>
      <w:r w:rsidRPr="00A31E13">
        <w:rPr>
          <w:rFonts w:eastAsia="Calibri" w:cs="Times New Roman"/>
          <w:color w:val="000000" w:themeColor="text1"/>
          <w:szCs w:val="20"/>
          <w:lang w:val="en-GB"/>
        </w:rPr>
        <w:t xml:space="preserve">was </w:t>
      </w:r>
      <w:r w:rsidR="007D6FC5" w:rsidRPr="00A31E13">
        <w:rPr>
          <w:lang w:val="en-GB"/>
        </w:rPr>
        <w:t>continu</w:t>
      </w:r>
      <w:r w:rsidR="007D6FC5" w:rsidRPr="00A31E13">
        <w:rPr>
          <w:rFonts w:eastAsia="Calibri" w:cs="Times New Roman"/>
          <w:color w:val="000000" w:themeColor="text1"/>
          <w:szCs w:val="20"/>
          <w:lang w:val="en-GB"/>
        </w:rPr>
        <w:t>ed</w:t>
      </w:r>
      <w:r w:rsidRPr="00A31E13">
        <w:rPr>
          <w:rFonts w:eastAsia="Calibri" w:cs="Times New Roman"/>
          <w:color w:val="000000" w:themeColor="text1"/>
          <w:szCs w:val="20"/>
          <w:lang w:val="en-GB"/>
        </w:rPr>
        <w:t>. Agreements and open issues were captured in the WF [2].</w:t>
      </w:r>
    </w:p>
    <w:p w14:paraId="22B390B2" w14:textId="39B744D0" w:rsidR="004048FA" w:rsidRPr="00A31E13" w:rsidRDefault="004048FA" w:rsidP="007D6FC5">
      <w:pPr>
        <w:spacing w:before="60" w:after="24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Following agreements were reached and following items for further study were identified.</w:t>
      </w:r>
    </w:p>
    <w:tbl>
      <w:tblPr>
        <w:tblStyle w:val="TableGrid"/>
        <w:tblW w:w="0" w:type="auto"/>
        <w:tblLook w:val="04A0" w:firstRow="1" w:lastRow="0" w:firstColumn="1" w:lastColumn="0" w:noHBand="0" w:noVBand="1"/>
      </w:tblPr>
      <w:tblGrid>
        <w:gridCol w:w="9617"/>
      </w:tblGrid>
      <w:tr w:rsidR="004048FA" w:rsidRPr="00936647" w14:paraId="66F5FCDD" w14:textId="77777777" w:rsidTr="007F3BE0">
        <w:tc>
          <w:tcPr>
            <w:tcW w:w="9617" w:type="dxa"/>
          </w:tcPr>
          <w:p w14:paraId="0C5A3FD3" w14:textId="77777777" w:rsidR="004048FA" w:rsidRPr="00936647" w:rsidRDefault="004048FA" w:rsidP="007F3BE0">
            <w:pPr>
              <w:spacing w:after="120"/>
              <w:rPr>
                <w:b/>
                <w:color w:val="000000" w:themeColor="text1"/>
                <w:u w:val="single"/>
                <w:lang w:val="en-GB" w:eastAsia="zh-CN"/>
              </w:rPr>
            </w:pPr>
            <w:r w:rsidRPr="00936647">
              <w:rPr>
                <w:b/>
                <w:color w:val="000000" w:themeColor="text1"/>
                <w:u w:val="single"/>
                <w:lang w:val="en-GB" w:eastAsia="zh-CN"/>
              </w:rPr>
              <w:t>Agreements</w:t>
            </w:r>
          </w:p>
          <w:p w14:paraId="6683E51C" w14:textId="20A2A909" w:rsidR="0051424B" w:rsidRPr="00936647" w:rsidRDefault="0051424B" w:rsidP="002B138D">
            <w:pPr>
              <w:spacing w:after="60"/>
              <w:rPr>
                <w:color w:val="000000" w:themeColor="text1"/>
                <w:u w:val="single"/>
                <w:lang w:eastAsia="zh-CN"/>
              </w:rPr>
            </w:pPr>
            <w:r w:rsidRPr="00936647">
              <w:rPr>
                <w:color w:val="000000" w:themeColor="text1"/>
                <w:u w:val="single"/>
                <w:lang w:eastAsia="zh-CN"/>
              </w:rPr>
              <w:t>Scenarios and use cases</w:t>
            </w:r>
          </w:p>
          <w:p w14:paraId="6CF9635F" w14:textId="7FF4DF9B" w:rsidR="0051424B" w:rsidRPr="003E1D03" w:rsidRDefault="003E1D03" w:rsidP="0051424B">
            <w:pPr>
              <w:pStyle w:val="ListParagraph"/>
              <w:numPr>
                <w:ilvl w:val="0"/>
                <w:numId w:val="8"/>
              </w:numPr>
              <w:spacing w:after="120"/>
              <w:ind w:left="318" w:hanging="284"/>
              <w:rPr>
                <w:color w:val="000000" w:themeColor="text1"/>
                <w:u w:val="single"/>
                <w:lang w:val="en-GB" w:eastAsia="zh-CN"/>
              </w:rPr>
            </w:pPr>
            <w:r w:rsidRPr="003E1D03">
              <w:rPr>
                <w:color w:val="000000" w:themeColor="text1"/>
                <w:lang w:val="en-GB" w:eastAsia="zh-CN"/>
              </w:rPr>
              <w:t>NCSG for CQI measurement for dormant Scell is not supported in R17</w:t>
            </w:r>
            <w:r>
              <w:rPr>
                <w:color w:val="000000" w:themeColor="text1"/>
                <w:lang w:val="en-GB" w:eastAsia="zh-CN"/>
              </w:rPr>
              <w:t>.</w:t>
            </w:r>
          </w:p>
          <w:p w14:paraId="70332E39" w14:textId="39A72943" w:rsidR="003E1D03" w:rsidRPr="003E1D03" w:rsidRDefault="003E1D03" w:rsidP="002B138D">
            <w:pPr>
              <w:pStyle w:val="ListParagraph"/>
              <w:numPr>
                <w:ilvl w:val="0"/>
                <w:numId w:val="8"/>
              </w:numPr>
              <w:spacing w:after="120"/>
              <w:ind w:left="318" w:hanging="284"/>
              <w:contextualSpacing w:val="0"/>
              <w:rPr>
                <w:color w:val="000000" w:themeColor="text1"/>
                <w:lang w:val="en-GB" w:eastAsia="zh-CN"/>
              </w:rPr>
            </w:pPr>
            <w:r w:rsidRPr="003E1D03">
              <w:rPr>
                <w:color w:val="000000" w:themeColor="text1"/>
                <w:lang w:val="en-GB" w:eastAsia="zh-CN"/>
              </w:rPr>
              <w:t>NCSG is applicable in FR2</w:t>
            </w:r>
          </w:p>
          <w:p w14:paraId="5FD78851" w14:textId="0A45B53C" w:rsidR="0051424B" w:rsidRPr="00296FE3" w:rsidRDefault="0051424B" w:rsidP="0051424B">
            <w:pPr>
              <w:spacing w:before="120" w:after="60"/>
              <w:ind w:left="34"/>
              <w:rPr>
                <w:color w:val="000000" w:themeColor="text1"/>
                <w:u w:val="single"/>
                <w:lang w:val="en-GB" w:eastAsia="zh-CN"/>
              </w:rPr>
            </w:pPr>
            <w:r w:rsidRPr="00296FE3">
              <w:rPr>
                <w:color w:val="000000" w:themeColor="text1"/>
                <w:u w:val="single"/>
                <w:lang w:val="en-GB" w:eastAsia="zh-CN"/>
              </w:rPr>
              <w:t>NCSG pattern</w:t>
            </w:r>
            <w:r w:rsidR="003E1D03" w:rsidRPr="00296FE3">
              <w:rPr>
                <w:color w:val="000000" w:themeColor="text1"/>
                <w:u w:val="single"/>
                <w:lang w:val="en-GB" w:eastAsia="zh-CN"/>
              </w:rPr>
              <w:t>s</w:t>
            </w:r>
          </w:p>
          <w:p w14:paraId="41C610C1" w14:textId="77777777" w:rsidR="003E1D03" w:rsidRPr="003E1D03" w:rsidRDefault="003E1D03" w:rsidP="002B138D">
            <w:pPr>
              <w:pStyle w:val="ListParagraph"/>
              <w:numPr>
                <w:ilvl w:val="0"/>
                <w:numId w:val="15"/>
              </w:numPr>
              <w:spacing w:before="60"/>
              <w:ind w:left="318" w:hanging="284"/>
              <w:contextualSpacing w:val="0"/>
              <w:rPr>
                <w:color w:val="000000" w:themeColor="text1"/>
                <w:lang w:val="en-GB" w:eastAsia="zh-CN"/>
              </w:rPr>
            </w:pPr>
            <w:r w:rsidRPr="003E1D03">
              <w:rPr>
                <w:color w:val="000000" w:themeColor="text1"/>
                <w:lang w:val="en-GB" w:eastAsia="zh-CN"/>
              </w:rPr>
              <w:t>Only keep measurement length and repetition periodicity in the pattern design, and capture VIL separately as interruption requirements</w:t>
            </w:r>
          </w:p>
          <w:p w14:paraId="667D8C6F" w14:textId="77777777" w:rsidR="003E1D03" w:rsidRPr="003E1D03" w:rsidRDefault="003E1D03" w:rsidP="002B138D">
            <w:pPr>
              <w:pStyle w:val="ListParagraph"/>
              <w:numPr>
                <w:ilvl w:val="0"/>
                <w:numId w:val="15"/>
              </w:numPr>
              <w:ind w:left="318" w:hanging="284"/>
              <w:contextualSpacing w:val="0"/>
              <w:rPr>
                <w:color w:val="000000" w:themeColor="text1"/>
                <w:lang w:val="en-GB" w:eastAsia="zh-CN"/>
              </w:rPr>
            </w:pPr>
            <w:r w:rsidRPr="003E1D03">
              <w:rPr>
                <w:color w:val="000000" w:themeColor="text1"/>
                <w:lang w:val="en-GB" w:eastAsia="zh-CN"/>
              </w:rPr>
              <w:t>Same NCSG pattern can apply for both sync and async scenario.</w:t>
            </w:r>
          </w:p>
          <w:p w14:paraId="798173BC" w14:textId="27B25E4B" w:rsidR="003E1D03" w:rsidRPr="003E1D03" w:rsidRDefault="003E1D03" w:rsidP="002B138D">
            <w:pPr>
              <w:pStyle w:val="ListParagraph"/>
              <w:numPr>
                <w:ilvl w:val="0"/>
                <w:numId w:val="15"/>
              </w:numPr>
              <w:ind w:left="318" w:hanging="284"/>
              <w:contextualSpacing w:val="0"/>
              <w:rPr>
                <w:color w:val="000000" w:themeColor="text1"/>
                <w:lang w:val="en-GB" w:eastAsia="zh-CN"/>
              </w:rPr>
            </w:pPr>
            <w:r w:rsidRPr="003E1D03">
              <w:rPr>
                <w:color w:val="000000" w:themeColor="text1"/>
                <w:lang w:val="en-GB" w:eastAsia="zh-CN"/>
              </w:rPr>
              <w:t xml:space="preserve">Regarding length of VIL, translate [1ms] (FR1) and [0.75ms] (FR2) into the number of interrupted slots for defining </w:t>
            </w:r>
            <w:r w:rsidR="002B138D">
              <w:rPr>
                <w:color w:val="000000" w:themeColor="text1"/>
                <w:lang w:val="en-GB" w:eastAsia="zh-CN"/>
              </w:rPr>
              <w:t xml:space="preserve">the </w:t>
            </w:r>
            <w:r w:rsidRPr="003E1D03">
              <w:rPr>
                <w:color w:val="000000" w:themeColor="text1"/>
                <w:lang w:val="en-GB" w:eastAsia="zh-CN"/>
              </w:rPr>
              <w:t>interruption requirements for the synchronous case and one more slot is added for asynchronous case.</w:t>
            </w:r>
          </w:p>
          <w:p w14:paraId="7641E556" w14:textId="77777777" w:rsidR="003E1D03" w:rsidRPr="003E1D03" w:rsidRDefault="003E1D03" w:rsidP="002B138D">
            <w:pPr>
              <w:pStyle w:val="ListParagraph"/>
              <w:numPr>
                <w:ilvl w:val="0"/>
                <w:numId w:val="15"/>
              </w:numPr>
              <w:ind w:left="318" w:hanging="284"/>
              <w:contextualSpacing w:val="0"/>
              <w:rPr>
                <w:color w:val="000000" w:themeColor="text1"/>
                <w:lang w:val="en-GB" w:eastAsia="zh-CN"/>
              </w:rPr>
            </w:pPr>
            <w:r w:rsidRPr="003E1D03">
              <w:rPr>
                <w:color w:val="000000" w:themeColor="text1"/>
                <w:lang w:val="en-GB" w:eastAsia="zh-CN"/>
              </w:rPr>
              <w:t>ML</w:t>
            </w:r>
            <w:r w:rsidRPr="003E1D03">
              <w:rPr>
                <w:color w:val="000000" w:themeColor="text1"/>
                <w:vertAlign w:val="subscript"/>
                <w:lang w:val="en-GB" w:eastAsia="zh-CN"/>
              </w:rPr>
              <w:t>NCSG</w:t>
            </w:r>
            <w:r w:rsidRPr="003E1D03">
              <w:rPr>
                <w:color w:val="000000" w:themeColor="text1"/>
                <w:lang w:val="en-GB" w:eastAsia="zh-CN"/>
              </w:rPr>
              <w:t xml:space="preserve"> = MGL</w:t>
            </w:r>
            <w:r w:rsidRPr="003E1D03">
              <w:rPr>
                <w:color w:val="000000" w:themeColor="text1"/>
                <w:vertAlign w:val="subscript"/>
                <w:lang w:val="en-GB" w:eastAsia="zh-CN"/>
              </w:rPr>
              <w:t>legacy</w:t>
            </w:r>
            <w:r w:rsidRPr="003E1D03">
              <w:rPr>
                <w:color w:val="000000" w:themeColor="text1"/>
                <w:lang w:val="en-GB" w:eastAsia="zh-CN"/>
              </w:rPr>
              <w:t xml:space="preserve"> – 2*RRT</w:t>
            </w:r>
          </w:p>
          <w:p w14:paraId="5907FFC3" w14:textId="77777777" w:rsidR="003E1D03" w:rsidRPr="003E1D03" w:rsidRDefault="003E1D03" w:rsidP="002B138D">
            <w:pPr>
              <w:pStyle w:val="ListParagraph"/>
              <w:numPr>
                <w:ilvl w:val="0"/>
                <w:numId w:val="15"/>
              </w:numPr>
              <w:ind w:left="318" w:hanging="284"/>
              <w:contextualSpacing w:val="0"/>
              <w:rPr>
                <w:color w:val="000000" w:themeColor="text1"/>
                <w:lang w:val="en-GB" w:eastAsia="zh-CN"/>
              </w:rPr>
            </w:pPr>
            <w:r w:rsidRPr="003E1D03">
              <w:rPr>
                <w:color w:val="000000" w:themeColor="text1"/>
                <w:lang w:val="en-GB" w:eastAsia="zh-CN"/>
              </w:rPr>
              <w:t>Existing RRT (0.5 ms for FR1 and 0.25 ms in FR2) also applies for NCSG</w:t>
            </w:r>
          </w:p>
          <w:p w14:paraId="4B6B7A6E" w14:textId="4879E304" w:rsidR="003E1D03" w:rsidRPr="003E1D03" w:rsidRDefault="003E1D03" w:rsidP="002B138D">
            <w:pPr>
              <w:pStyle w:val="ListParagraph"/>
              <w:numPr>
                <w:ilvl w:val="0"/>
                <w:numId w:val="15"/>
              </w:numPr>
              <w:ind w:left="318" w:hanging="284"/>
              <w:contextualSpacing w:val="0"/>
              <w:rPr>
                <w:color w:val="000000" w:themeColor="text1"/>
                <w:lang w:val="en-GB" w:eastAsia="zh-CN"/>
              </w:rPr>
            </w:pPr>
            <w:r w:rsidRPr="003E1D03">
              <w:rPr>
                <w:color w:val="000000" w:themeColor="text1"/>
                <w:lang w:val="en-GB" w:eastAsia="zh-CN"/>
              </w:rPr>
              <w:t>NCSG patterns corresponding to legacy patterns #0 and #1 are mandatorily</w:t>
            </w:r>
            <w:r>
              <w:rPr>
                <w:color w:val="000000" w:themeColor="text1"/>
                <w:lang w:val="en-GB" w:eastAsia="zh-CN"/>
              </w:rPr>
              <w:t xml:space="preserve"> </w:t>
            </w:r>
            <w:r w:rsidRPr="003E1D03">
              <w:rPr>
                <w:color w:val="000000" w:themeColor="text1"/>
                <w:lang w:val="en-GB" w:eastAsia="zh-CN"/>
              </w:rPr>
              <w:t xml:space="preserve">supported if UE supports NCSG. </w:t>
            </w:r>
          </w:p>
          <w:p w14:paraId="654AFC20" w14:textId="51304778" w:rsidR="003E1D03" w:rsidRPr="003E1D03" w:rsidRDefault="003E1D03" w:rsidP="002B138D">
            <w:pPr>
              <w:pStyle w:val="ListParagraph"/>
              <w:numPr>
                <w:ilvl w:val="0"/>
                <w:numId w:val="15"/>
              </w:numPr>
              <w:ind w:left="318" w:hanging="284"/>
              <w:contextualSpacing w:val="0"/>
              <w:rPr>
                <w:color w:val="000000" w:themeColor="text1"/>
                <w:lang w:val="en-GB" w:eastAsia="zh-CN"/>
              </w:rPr>
            </w:pPr>
            <w:r w:rsidRPr="003E1D03">
              <w:rPr>
                <w:color w:val="000000" w:themeColor="text1"/>
                <w:lang w:val="en-GB" w:eastAsia="zh-CN"/>
              </w:rPr>
              <w:t xml:space="preserve">NCSG patterns with longer MGRP (&gt;160ms) are deferred to the further release. </w:t>
            </w:r>
          </w:p>
          <w:p w14:paraId="3D0AD40F" w14:textId="4D849D28" w:rsidR="003E1D03" w:rsidRDefault="003E1D03" w:rsidP="002B138D">
            <w:pPr>
              <w:pStyle w:val="ListParagraph"/>
              <w:numPr>
                <w:ilvl w:val="0"/>
                <w:numId w:val="15"/>
              </w:numPr>
              <w:spacing w:after="120"/>
              <w:ind w:left="318" w:hanging="284"/>
              <w:contextualSpacing w:val="0"/>
              <w:rPr>
                <w:color w:val="000000" w:themeColor="text1"/>
                <w:lang w:val="en-GB" w:eastAsia="zh-CN"/>
              </w:rPr>
            </w:pPr>
            <w:r w:rsidRPr="003E1D03">
              <w:rPr>
                <w:color w:val="000000" w:themeColor="text1"/>
                <w:lang w:val="en-GB" w:eastAsia="zh-CN"/>
              </w:rPr>
              <w:t>NCSG patterns will be defined corresponding to legacy MG patterns #0 to #23.</w:t>
            </w:r>
          </w:p>
          <w:p w14:paraId="3824048A" w14:textId="18C403C2" w:rsidR="002B138D" w:rsidRPr="00936647" w:rsidRDefault="002B138D" w:rsidP="002B138D">
            <w:pPr>
              <w:spacing w:after="60"/>
              <w:rPr>
                <w:color w:val="000000" w:themeColor="text1"/>
                <w:u w:val="single"/>
                <w:lang w:eastAsia="zh-CN"/>
              </w:rPr>
            </w:pPr>
            <w:r>
              <w:rPr>
                <w:color w:val="000000" w:themeColor="text1"/>
                <w:u w:val="single"/>
                <w:lang w:eastAsia="zh-CN"/>
              </w:rPr>
              <w:t>UE capability</w:t>
            </w:r>
          </w:p>
          <w:p w14:paraId="592D07C7" w14:textId="5AA4CF34" w:rsidR="002B138D" w:rsidRPr="002B138D" w:rsidRDefault="002B138D" w:rsidP="002B138D">
            <w:pPr>
              <w:pStyle w:val="ListParagraph"/>
              <w:numPr>
                <w:ilvl w:val="0"/>
                <w:numId w:val="8"/>
              </w:numPr>
              <w:ind w:left="306" w:hanging="272"/>
              <w:contextualSpacing w:val="0"/>
              <w:rPr>
                <w:color w:val="000000" w:themeColor="text1"/>
                <w:lang w:val="en-GB" w:eastAsia="zh-CN"/>
              </w:rPr>
            </w:pPr>
            <w:r>
              <w:rPr>
                <w:color w:val="000000" w:themeColor="text1"/>
                <w:lang w:val="en-GB" w:eastAsia="zh-CN"/>
              </w:rPr>
              <w:t>G</w:t>
            </w:r>
            <w:r w:rsidRPr="002B138D">
              <w:rPr>
                <w:color w:val="000000" w:themeColor="text1"/>
                <w:lang w:val="en-GB" w:eastAsia="zh-CN"/>
              </w:rPr>
              <w:t xml:space="preserve">eneral UE capability for support of NCSG is introduced </w:t>
            </w:r>
          </w:p>
          <w:p w14:paraId="2F90539B" w14:textId="77777777" w:rsidR="002B138D" w:rsidRPr="002B138D" w:rsidRDefault="002B138D" w:rsidP="002B138D">
            <w:pPr>
              <w:pStyle w:val="ListParagraph"/>
              <w:numPr>
                <w:ilvl w:val="0"/>
                <w:numId w:val="8"/>
              </w:numPr>
              <w:spacing w:after="120"/>
              <w:ind w:left="306" w:hanging="272"/>
              <w:rPr>
                <w:color w:val="000000" w:themeColor="text1"/>
                <w:lang w:val="en-GB" w:eastAsia="zh-CN"/>
              </w:rPr>
            </w:pPr>
            <w:r w:rsidRPr="002B138D">
              <w:rPr>
                <w:color w:val="000000" w:themeColor="text1"/>
                <w:lang w:val="en-GB" w:eastAsia="zh-CN"/>
              </w:rPr>
              <w:t xml:space="preserve">UE can report three different capabilities: 'no-gap-no-ncsg', 'ncsg' and 'gap' </w:t>
            </w:r>
          </w:p>
          <w:p w14:paraId="10BF3991" w14:textId="4EE433E1" w:rsidR="002B138D" w:rsidRPr="003E1D03" w:rsidRDefault="002B138D" w:rsidP="002B138D">
            <w:pPr>
              <w:pStyle w:val="ListParagraph"/>
              <w:numPr>
                <w:ilvl w:val="0"/>
                <w:numId w:val="8"/>
              </w:numPr>
              <w:spacing w:after="120"/>
              <w:ind w:left="306" w:hanging="272"/>
              <w:contextualSpacing w:val="0"/>
              <w:rPr>
                <w:color w:val="000000" w:themeColor="text1"/>
                <w:lang w:val="en-GB" w:eastAsia="zh-CN"/>
              </w:rPr>
            </w:pPr>
            <w:r w:rsidRPr="002B138D">
              <w:rPr>
                <w:color w:val="000000" w:themeColor="text1"/>
                <w:lang w:val="en-GB" w:eastAsia="zh-CN"/>
              </w:rPr>
              <w:t>NCSG reporting granularity is per band in a band combination for inter-frequency measurement.</w:t>
            </w:r>
          </w:p>
          <w:p w14:paraId="194D2015" w14:textId="1D61C018" w:rsidR="002B138D" w:rsidRPr="00936647" w:rsidRDefault="002B138D" w:rsidP="002B138D">
            <w:pPr>
              <w:spacing w:after="60"/>
              <w:rPr>
                <w:color w:val="000000" w:themeColor="text1"/>
                <w:u w:val="single"/>
                <w:lang w:eastAsia="zh-CN"/>
              </w:rPr>
            </w:pPr>
            <w:r w:rsidRPr="002B138D">
              <w:rPr>
                <w:color w:val="000000" w:themeColor="text1"/>
                <w:u w:val="single"/>
                <w:lang w:eastAsia="zh-CN"/>
              </w:rPr>
              <w:t>Measurement related requirements</w:t>
            </w:r>
          </w:p>
          <w:p w14:paraId="5D1850B4" w14:textId="77777777" w:rsidR="002B138D" w:rsidRPr="002B138D" w:rsidRDefault="002B138D" w:rsidP="002B138D">
            <w:pPr>
              <w:pStyle w:val="ListParagraph"/>
              <w:numPr>
                <w:ilvl w:val="0"/>
                <w:numId w:val="8"/>
              </w:numPr>
              <w:spacing w:after="120"/>
              <w:ind w:left="328" w:hanging="294"/>
              <w:rPr>
                <w:color w:val="000000" w:themeColor="text1"/>
                <w:lang w:val="en-GB" w:eastAsia="zh-CN"/>
              </w:rPr>
            </w:pPr>
            <w:r w:rsidRPr="002B138D">
              <w:rPr>
                <w:color w:val="000000" w:themeColor="text1"/>
                <w:lang w:val="en-GB" w:eastAsia="zh-CN"/>
              </w:rPr>
              <w:t>A new CSSF dedicated for NCSG measurement is introduced.</w:t>
            </w:r>
          </w:p>
          <w:p w14:paraId="08DCE8B4" w14:textId="77777777" w:rsidR="002B138D" w:rsidRPr="002B138D" w:rsidRDefault="002B138D" w:rsidP="002B138D">
            <w:pPr>
              <w:pStyle w:val="ListParagraph"/>
              <w:numPr>
                <w:ilvl w:val="0"/>
                <w:numId w:val="8"/>
              </w:numPr>
              <w:spacing w:after="120"/>
              <w:ind w:left="328" w:hanging="294"/>
              <w:rPr>
                <w:color w:val="000000" w:themeColor="text1"/>
                <w:lang w:val="en-GB" w:eastAsia="zh-CN"/>
              </w:rPr>
            </w:pPr>
            <w:r w:rsidRPr="002B138D">
              <w:rPr>
                <w:color w:val="000000" w:themeColor="text1"/>
                <w:lang w:val="en-GB" w:eastAsia="zh-CN"/>
              </w:rPr>
              <w:t xml:space="preserve">For gapless inter-frequency measurements (SSB is within active BWP), Rel-16 feature 9-4 applies, else it is done via NCSG capability reporting. </w:t>
            </w:r>
          </w:p>
          <w:p w14:paraId="1DD7F6AB" w14:textId="77777777" w:rsidR="002B138D" w:rsidRPr="002B138D" w:rsidRDefault="002B138D" w:rsidP="002B138D">
            <w:pPr>
              <w:pStyle w:val="ListParagraph"/>
              <w:numPr>
                <w:ilvl w:val="0"/>
                <w:numId w:val="8"/>
              </w:numPr>
              <w:spacing w:after="120"/>
              <w:ind w:left="328" w:hanging="294"/>
              <w:rPr>
                <w:color w:val="000000" w:themeColor="text1"/>
                <w:lang w:val="en-GB" w:eastAsia="zh-CN"/>
              </w:rPr>
            </w:pPr>
            <w:r w:rsidRPr="002B138D">
              <w:rPr>
                <w:color w:val="000000" w:themeColor="text1"/>
                <w:lang w:val="en-GB" w:eastAsia="zh-CN"/>
              </w:rPr>
              <w:t>Requirements will be defined for the case: Per-UE NCSG is configured only if UE can measure all frequency layers with NCSG for a per-UE gap UE.</w:t>
            </w:r>
          </w:p>
          <w:p w14:paraId="011EB738" w14:textId="77777777" w:rsidR="002B138D" w:rsidRPr="002B138D" w:rsidRDefault="002B138D" w:rsidP="002B138D">
            <w:pPr>
              <w:pStyle w:val="ListParagraph"/>
              <w:numPr>
                <w:ilvl w:val="0"/>
                <w:numId w:val="8"/>
              </w:numPr>
              <w:spacing w:after="120"/>
              <w:ind w:left="328" w:hanging="294"/>
              <w:rPr>
                <w:color w:val="000000" w:themeColor="text1"/>
                <w:lang w:val="en-GB" w:eastAsia="zh-CN"/>
              </w:rPr>
            </w:pPr>
            <w:r w:rsidRPr="002B138D">
              <w:rPr>
                <w:color w:val="000000" w:themeColor="text1"/>
                <w:lang w:val="en-GB" w:eastAsia="zh-CN"/>
              </w:rPr>
              <w:t>Requirements will be defined for the case: Per-FR NCSG is configured only if UE can measure all frequency layers with NCSG for a per-FR gap UE.</w:t>
            </w:r>
          </w:p>
          <w:p w14:paraId="1267A28F" w14:textId="77777777" w:rsidR="002B138D" w:rsidRPr="002B138D" w:rsidRDefault="002B138D" w:rsidP="002B138D">
            <w:pPr>
              <w:pStyle w:val="ListParagraph"/>
              <w:numPr>
                <w:ilvl w:val="0"/>
                <w:numId w:val="8"/>
              </w:numPr>
              <w:spacing w:after="120"/>
              <w:ind w:left="328" w:hanging="294"/>
              <w:rPr>
                <w:color w:val="000000" w:themeColor="text1"/>
                <w:lang w:val="en-GB" w:eastAsia="zh-CN"/>
              </w:rPr>
            </w:pPr>
            <w:r w:rsidRPr="002B138D">
              <w:rPr>
                <w:color w:val="000000" w:themeColor="text1"/>
                <w:lang w:val="en-GB" w:eastAsia="zh-CN"/>
              </w:rPr>
              <w:t>In case network configures legacy MG, legacy requirements apply.</w:t>
            </w:r>
          </w:p>
          <w:p w14:paraId="2CD3F8CE" w14:textId="77777777" w:rsidR="002B138D" w:rsidRPr="002B138D" w:rsidRDefault="002B138D" w:rsidP="002B138D">
            <w:pPr>
              <w:pStyle w:val="ListParagraph"/>
              <w:numPr>
                <w:ilvl w:val="0"/>
                <w:numId w:val="8"/>
              </w:numPr>
              <w:spacing w:after="120"/>
              <w:ind w:left="328" w:hanging="294"/>
              <w:rPr>
                <w:color w:val="000000" w:themeColor="text1"/>
                <w:lang w:val="en-GB" w:eastAsia="zh-CN"/>
              </w:rPr>
            </w:pPr>
            <w:r w:rsidRPr="002B138D">
              <w:rPr>
                <w:color w:val="000000" w:themeColor="text1"/>
                <w:lang w:val="en-GB" w:eastAsia="zh-CN"/>
              </w:rPr>
              <w:t>For deactivated SCC measurements, requirements apply if SMTC is fully within ML of NCSG and they need to be considered in the CSSF.</w:t>
            </w:r>
          </w:p>
          <w:p w14:paraId="511F63E8" w14:textId="4E1EF570" w:rsidR="002B138D" w:rsidRPr="00936647" w:rsidRDefault="002B138D" w:rsidP="002B138D">
            <w:pPr>
              <w:spacing w:after="60"/>
              <w:rPr>
                <w:color w:val="000000" w:themeColor="text1"/>
                <w:u w:val="single"/>
                <w:lang w:eastAsia="zh-CN"/>
              </w:rPr>
            </w:pPr>
            <w:r>
              <w:rPr>
                <w:color w:val="000000" w:themeColor="text1"/>
                <w:u w:val="single"/>
                <w:lang w:eastAsia="zh-CN"/>
              </w:rPr>
              <w:t>Interruption</w:t>
            </w:r>
            <w:r w:rsidRPr="002B138D">
              <w:rPr>
                <w:color w:val="000000" w:themeColor="text1"/>
                <w:u w:val="single"/>
                <w:lang w:eastAsia="zh-CN"/>
              </w:rPr>
              <w:t xml:space="preserve"> requirements</w:t>
            </w:r>
          </w:p>
          <w:p w14:paraId="22849896" w14:textId="7874B73C" w:rsidR="002B138D" w:rsidRPr="002B138D" w:rsidRDefault="002B138D" w:rsidP="002B138D">
            <w:pPr>
              <w:pStyle w:val="ListParagraph"/>
              <w:numPr>
                <w:ilvl w:val="0"/>
                <w:numId w:val="8"/>
              </w:numPr>
              <w:spacing w:after="120"/>
              <w:ind w:left="328" w:hanging="294"/>
              <w:rPr>
                <w:color w:val="000000" w:themeColor="text1"/>
                <w:lang w:val="en-GB" w:eastAsia="zh-CN"/>
              </w:rPr>
            </w:pPr>
            <w:r w:rsidRPr="002B138D">
              <w:rPr>
                <w:color w:val="000000" w:themeColor="text1"/>
                <w:lang w:val="en-GB" w:eastAsia="zh-CN"/>
              </w:rPr>
              <w:t>New interruption requirements are needed for NCSG, i.e. no interruption besides VIL is allowed due to measurement on deactivated SCC or on any carriers using NCSG.</w:t>
            </w:r>
          </w:p>
          <w:p w14:paraId="13B6CD7D" w14:textId="379202AC" w:rsidR="0051424B" w:rsidRPr="00296FE3" w:rsidRDefault="002B138D" w:rsidP="00296FE3">
            <w:pPr>
              <w:pStyle w:val="ListParagraph"/>
              <w:numPr>
                <w:ilvl w:val="0"/>
                <w:numId w:val="8"/>
              </w:numPr>
              <w:spacing w:after="120"/>
              <w:ind w:left="328" w:hanging="294"/>
              <w:rPr>
                <w:color w:val="000000" w:themeColor="text1"/>
                <w:lang w:val="en-GB" w:eastAsia="zh-CN"/>
              </w:rPr>
            </w:pPr>
            <w:r w:rsidRPr="002B138D">
              <w:rPr>
                <w:color w:val="000000" w:themeColor="text1"/>
                <w:lang w:val="en-GB" w:eastAsia="zh-CN"/>
              </w:rPr>
              <w:t>Whether to transmit in the UL slot immediately after VIL1 is up to UE implementation.</w:t>
            </w:r>
          </w:p>
        </w:tc>
      </w:tr>
    </w:tbl>
    <w:p w14:paraId="05F29CEE" w14:textId="77777777" w:rsidR="004048FA" w:rsidRPr="00936647" w:rsidRDefault="004048FA" w:rsidP="004048FA">
      <w:pPr>
        <w:spacing w:after="0" w:line="240" w:lineRule="auto"/>
        <w:ind w:right="-23"/>
        <w:rPr>
          <w:rFonts w:eastAsia="Calibri" w:cs="Times New Roman"/>
          <w:color w:val="000000" w:themeColor="text1"/>
          <w:sz w:val="12"/>
          <w:szCs w:val="12"/>
          <w:lang w:val="en-GB"/>
        </w:rPr>
      </w:pPr>
    </w:p>
    <w:tbl>
      <w:tblPr>
        <w:tblStyle w:val="TableGrid"/>
        <w:tblW w:w="0" w:type="auto"/>
        <w:tblLook w:val="04A0" w:firstRow="1" w:lastRow="0" w:firstColumn="1" w:lastColumn="0" w:noHBand="0" w:noVBand="1"/>
      </w:tblPr>
      <w:tblGrid>
        <w:gridCol w:w="9617"/>
      </w:tblGrid>
      <w:tr w:rsidR="004048FA" w:rsidRPr="00A31E13" w14:paraId="0B23FAC5" w14:textId="77777777" w:rsidTr="007F3BE0">
        <w:tc>
          <w:tcPr>
            <w:tcW w:w="9617" w:type="dxa"/>
          </w:tcPr>
          <w:p w14:paraId="477B067D" w14:textId="77777777" w:rsidR="004048FA" w:rsidRPr="00936647" w:rsidRDefault="004048FA" w:rsidP="007F3BE0">
            <w:pPr>
              <w:spacing w:after="120"/>
              <w:rPr>
                <w:b/>
                <w:color w:val="000000" w:themeColor="text1"/>
                <w:u w:val="single"/>
                <w:lang w:val="en-GB" w:eastAsia="zh-CN"/>
              </w:rPr>
            </w:pPr>
            <w:r w:rsidRPr="00936647">
              <w:rPr>
                <w:b/>
                <w:color w:val="000000" w:themeColor="text1"/>
                <w:u w:val="single"/>
                <w:lang w:val="en-GB" w:eastAsia="zh-CN"/>
              </w:rPr>
              <w:lastRenderedPageBreak/>
              <w:t>Items for further study</w:t>
            </w:r>
          </w:p>
          <w:p w14:paraId="19665A4F" w14:textId="77777777" w:rsidR="004055EC" w:rsidRPr="00936647" w:rsidRDefault="004055EC" w:rsidP="004055EC">
            <w:pPr>
              <w:spacing w:after="60"/>
              <w:rPr>
                <w:color w:val="000000" w:themeColor="text1"/>
                <w:u w:val="single"/>
                <w:lang w:val="en-GB" w:eastAsia="zh-CN"/>
              </w:rPr>
            </w:pPr>
            <w:r w:rsidRPr="00936647">
              <w:rPr>
                <w:color w:val="000000" w:themeColor="text1"/>
                <w:u w:val="single"/>
                <w:lang w:val="en-GB" w:eastAsia="zh-CN"/>
              </w:rPr>
              <w:t xml:space="preserve">Scenarios and use cases </w:t>
            </w:r>
          </w:p>
          <w:p w14:paraId="04D14DA1" w14:textId="07C236F5" w:rsidR="00296FE3" w:rsidRPr="00296FE3" w:rsidRDefault="00296FE3" w:rsidP="00296FE3">
            <w:pPr>
              <w:pStyle w:val="ListParagraph"/>
              <w:numPr>
                <w:ilvl w:val="0"/>
                <w:numId w:val="9"/>
              </w:numPr>
              <w:ind w:left="318" w:hanging="318"/>
              <w:rPr>
                <w:color w:val="000000" w:themeColor="text1"/>
                <w:lang w:val="en-GB" w:eastAsia="zh-CN"/>
              </w:rPr>
            </w:pPr>
            <w:r w:rsidRPr="001F3B31">
              <w:rPr>
                <w:color w:val="000000" w:themeColor="text1"/>
                <w:lang w:val="en-GB" w:eastAsia="zh-CN"/>
              </w:rPr>
              <w:t>W</w:t>
            </w:r>
            <w:r w:rsidRPr="00296FE3">
              <w:rPr>
                <w:color w:val="000000" w:themeColor="text1"/>
                <w:lang w:val="en-GB" w:eastAsia="zh-CN"/>
              </w:rPr>
              <w:t>hether NCSG can be used for RRM measurement for dormant SCell</w:t>
            </w:r>
          </w:p>
          <w:p w14:paraId="6C9BCC36" w14:textId="17009326" w:rsidR="00296FE3" w:rsidRPr="00296FE3" w:rsidRDefault="00296FE3" w:rsidP="00296FE3">
            <w:pPr>
              <w:pStyle w:val="ListParagraph"/>
              <w:numPr>
                <w:ilvl w:val="0"/>
                <w:numId w:val="9"/>
              </w:numPr>
              <w:ind w:left="318" w:hanging="318"/>
              <w:rPr>
                <w:color w:val="000000" w:themeColor="text1"/>
                <w:lang w:val="en-GB" w:eastAsia="zh-CN"/>
              </w:rPr>
            </w:pPr>
            <w:r w:rsidRPr="001F3B31">
              <w:rPr>
                <w:color w:val="000000" w:themeColor="text1"/>
                <w:lang w:val="en-GB" w:eastAsia="zh-CN"/>
              </w:rPr>
              <w:t>W</w:t>
            </w:r>
            <w:r w:rsidRPr="00296FE3">
              <w:rPr>
                <w:color w:val="000000" w:themeColor="text1"/>
                <w:lang w:val="en-GB" w:eastAsia="zh-CN"/>
              </w:rPr>
              <w:t xml:space="preserve">hether NCSG can be used for measuring CSI-RS based inter-frequency measurement with gap. </w:t>
            </w:r>
          </w:p>
          <w:p w14:paraId="2FF632B2" w14:textId="6C41FF88" w:rsidR="00296FE3" w:rsidRPr="00296FE3" w:rsidRDefault="00296FE3" w:rsidP="00296FE3">
            <w:pPr>
              <w:pStyle w:val="ListParagraph"/>
              <w:numPr>
                <w:ilvl w:val="0"/>
                <w:numId w:val="9"/>
              </w:numPr>
              <w:ind w:left="318" w:hanging="318"/>
              <w:rPr>
                <w:color w:val="000000" w:themeColor="text1"/>
                <w:lang w:val="en-GB" w:eastAsia="zh-CN"/>
              </w:rPr>
            </w:pPr>
            <w:r w:rsidRPr="001F3B31">
              <w:rPr>
                <w:color w:val="000000" w:themeColor="text1"/>
                <w:lang w:val="en-GB" w:eastAsia="zh-CN"/>
              </w:rPr>
              <w:t>W</w:t>
            </w:r>
            <w:r w:rsidRPr="00296FE3">
              <w:rPr>
                <w:color w:val="000000" w:themeColor="text1"/>
                <w:lang w:val="en-GB" w:eastAsia="zh-CN"/>
              </w:rPr>
              <w:t>hether NCSG can be used for EN-DC, NE-DC and NR-DC</w:t>
            </w:r>
          </w:p>
          <w:p w14:paraId="1CA06F1D" w14:textId="53B53CB1" w:rsidR="00296FE3" w:rsidRPr="001F3B31" w:rsidRDefault="00296FE3" w:rsidP="00296FE3">
            <w:pPr>
              <w:pStyle w:val="ListParagraph"/>
              <w:numPr>
                <w:ilvl w:val="0"/>
                <w:numId w:val="9"/>
              </w:numPr>
              <w:ind w:left="318" w:hanging="318"/>
              <w:rPr>
                <w:color w:val="000000" w:themeColor="text1"/>
                <w:lang w:val="en-GB" w:eastAsia="zh-CN"/>
              </w:rPr>
            </w:pPr>
            <w:r w:rsidRPr="001F3B31">
              <w:rPr>
                <w:color w:val="000000" w:themeColor="text1"/>
                <w:lang w:val="en-GB" w:eastAsia="zh-CN"/>
              </w:rPr>
              <w:t>U</w:t>
            </w:r>
            <w:r w:rsidRPr="00296FE3">
              <w:rPr>
                <w:color w:val="000000" w:themeColor="text1"/>
                <w:lang w:val="en-GB" w:eastAsia="zh-CN"/>
              </w:rPr>
              <w:t>nder which conditions NSCG is applicable in FR2 (different options).</w:t>
            </w:r>
          </w:p>
          <w:p w14:paraId="3E796555" w14:textId="77777777" w:rsidR="004055EC" w:rsidRPr="001F3B31" w:rsidRDefault="004055EC" w:rsidP="004055EC">
            <w:pPr>
              <w:spacing w:before="120" w:after="60"/>
              <w:rPr>
                <w:color w:val="000000" w:themeColor="text1"/>
                <w:u w:val="single"/>
                <w:lang w:val="en-GB" w:eastAsia="zh-CN"/>
              </w:rPr>
            </w:pPr>
            <w:r w:rsidRPr="001F3B31">
              <w:rPr>
                <w:color w:val="000000" w:themeColor="text1"/>
                <w:u w:val="single"/>
                <w:lang w:val="en-GB" w:eastAsia="zh-CN"/>
              </w:rPr>
              <w:t>NCSG pattern design</w:t>
            </w:r>
          </w:p>
          <w:p w14:paraId="53B5370D" w14:textId="5923EF85" w:rsidR="00296FE3" w:rsidRPr="00296FE3" w:rsidRDefault="00296FE3" w:rsidP="00296FE3">
            <w:pPr>
              <w:pStyle w:val="ListParagraph"/>
              <w:numPr>
                <w:ilvl w:val="0"/>
                <w:numId w:val="9"/>
              </w:numPr>
              <w:spacing w:after="120"/>
              <w:ind w:left="318" w:hanging="284"/>
              <w:rPr>
                <w:color w:val="000000" w:themeColor="text1"/>
                <w:lang w:val="en-GB" w:eastAsia="zh-CN"/>
              </w:rPr>
            </w:pPr>
            <w:r w:rsidRPr="001F3B31">
              <w:rPr>
                <w:color w:val="000000" w:themeColor="text1"/>
                <w:lang w:val="en-GB" w:eastAsia="zh-CN"/>
              </w:rPr>
              <w:t>W</w:t>
            </w:r>
            <w:r w:rsidRPr="00296FE3">
              <w:rPr>
                <w:color w:val="000000" w:themeColor="text1"/>
                <w:lang w:val="en-GB" w:eastAsia="zh-CN"/>
              </w:rPr>
              <w:t>hether other NCSG patterns (than #0 and #1) are mandatorily supported.</w:t>
            </w:r>
          </w:p>
          <w:p w14:paraId="6A0DC9A8" w14:textId="770996EE" w:rsidR="00296FE3" w:rsidRPr="00296FE3" w:rsidRDefault="00296FE3" w:rsidP="00296FE3">
            <w:pPr>
              <w:pStyle w:val="ListParagraph"/>
              <w:numPr>
                <w:ilvl w:val="0"/>
                <w:numId w:val="9"/>
              </w:numPr>
              <w:spacing w:after="120"/>
              <w:ind w:left="318" w:hanging="284"/>
              <w:contextualSpacing w:val="0"/>
              <w:rPr>
                <w:color w:val="000000" w:themeColor="text1"/>
                <w:lang w:val="en-GB" w:eastAsia="zh-CN"/>
              </w:rPr>
            </w:pPr>
            <w:r w:rsidRPr="001F3B31">
              <w:rPr>
                <w:color w:val="000000" w:themeColor="text1"/>
                <w:lang w:val="en-GB" w:eastAsia="zh-CN"/>
              </w:rPr>
              <w:t>W</w:t>
            </w:r>
            <w:r w:rsidRPr="00296FE3">
              <w:rPr>
                <w:color w:val="000000" w:themeColor="text1"/>
                <w:lang w:val="en-GB" w:eastAsia="zh-CN"/>
              </w:rPr>
              <w:t>hether existing gap applicability in Rel-16 for NR-only measurement can apply for NCSG.</w:t>
            </w:r>
          </w:p>
          <w:p w14:paraId="622E4450" w14:textId="77777777" w:rsidR="00296FE3" w:rsidRPr="001F3B31" w:rsidRDefault="00296FE3" w:rsidP="00296FE3">
            <w:pPr>
              <w:spacing w:after="60"/>
              <w:rPr>
                <w:color w:val="000000" w:themeColor="text1"/>
                <w:u w:val="single"/>
                <w:lang w:eastAsia="zh-CN"/>
              </w:rPr>
            </w:pPr>
            <w:r w:rsidRPr="001F3B31">
              <w:rPr>
                <w:color w:val="000000" w:themeColor="text1"/>
                <w:u w:val="single"/>
                <w:lang w:eastAsia="zh-CN"/>
              </w:rPr>
              <w:t>UE capability</w:t>
            </w:r>
          </w:p>
          <w:p w14:paraId="4C64A082" w14:textId="6CE00F15" w:rsidR="00296FE3" w:rsidRPr="001F3B31" w:rsidRDefault="00296FE3" w:rsidP="00296FE3">
            <w:pPr>
              <w:pStyle w:val="ListParagraph"/>
              <w:numPr>
                <w:ilvl w:val="0"/>
                <w:numId w:val="8"/>
              </w:numPr>
              <w:spacing w:after="120"/>
              <w:ind w:left="306" w:hanging="272"/>
              <w:contextualSpacing w:val="0"/>
              <w:rPr>
                <w:color w:val="000000" w:themeColor="text1"/>
                <w:lang w:val="en-GB" w:eastAsia="zh-CN"/>
              </w:rPr>
            </w:pPr>
            <w:r w:rsidRPr="001F3B31">
              <w:rPr>
                <w:color w:val="000000" w:themeColor="text1"/>
                <w:lang w:eastAsia="zh-CN"/>
              </w:rPr>
              <w:t>W</w:t>
            </w:r>
            <w:r w:rsidRPr="00296FE3">
              <w:rPr>
                <w:color w:val="000000" w:themeColor="text1"/>
                <w:lang w:val="en-GB" w:eastAsia="zh-CN"/>
              </w:rPr>
              <w:t>hether to define additional UE capability for per BC indication for per-FR NCSG on top of per-UE NCSG and per-FR NCSG capabilities.</w:t>
            </w:r>
          </w:p>
          <w:p w14:paraId="6C8A0081" w14:textId="77777777" w:rsidR="00296FE3" w:rsidRPr="001F3B31" w:rsidRDefault="00296FE3" w:rsidP="00296FE3">
            <w:pPr>
              <w:spacing w:after="60"/>
              <w:ind w:left="34"/>
              <w:rPr>
                <w:color w:val="000000" w:themeColor="text1"/>
                <w:u w:val="single"/>
                <w:lang w:eastAsia="zh-CN"/>
              </w:rPr>
            </w:pPr>
            <w:r w:rsidRPr="001F3B31">
              <w:rPr>
                <w:color w:val="000000" w:themeColor="text1"/>
                <w:u w:val="single"/>
                <w:lang w:eastAsia="zh-CN"/>
              </w:rPr>
              <w:t xml:space="preserve">NW configuration and corresponding UE behaviour </w:t>
            </w:r>
          </w:p>
          <w:p w14:paraId="1AA36C68" w14:textId="18CEE554" w:rsidR="00296FE3" w:rsidRPr="001F3B31" w:rsidRDefault="00296FE3" w:rsidP="00296FE3">
            <w:pPr>
              <w:pStyle w:val="ListParagraph"/>
              <w:numPr>
                <w:ilvl w:val="0"/>
                <w:numId w:val="31"/>
              </w:numPr>
              <w:spacing w:after="120"/>
              <w:ind w:left="307" w:hanging="284"/>
              <w:contextualSpacing w:val="0"/>
              <w:rPr>
                <w:color w:val="000000" w:themeColor="text1"/>
                <w:lang w:val="en-GB" w:eastAsia="zh-CN"/>
              </w:rPr>
            </w:pPr>
            <w:r w:rsidRPr="001F3B31">
              <w:rPr>
                <w:color w:val="000000" w:themeColor="text1"/>
                <w:lang w:val="en-GB" w:eastAsia="zh-CN"/>
              </w:rPr>
              <w:t xml:space="preserve">Define exact mapping between NW configuration (No MG nor NCSG, NCSG, MG) and UE capability (gap, no-gap-with-interruption, no-gap-no-interruption) </w:t>
            </w:r>
          </w:p>
          <w:p w14:paraId="2EAB8C23" w14:textId="77777777" w:rsidR="00296FE3" w:rsidRPr="001F3B31" w:rsidRDefault="00296FE3" w:rsidP="00296FE3">
            <w:pPr>
              <w:spacing w:after="60"/>
              <w:rPr>
                <w:color w:val="000000" w:themeColor="text1"/>
                <w:u w:val="single"/>
                <w:lang w:eastAsia="zh-CN"/>
              </w:rPr>
            </w:pPr>
            <w:r w:rsidRPr="001F3B31">
              <w:rPr>
                <w:color w:val="000000" w:themeColor="text1"/>
                <w:u w:val="single"/>
                <w:lang w:eastAsia="zh-CN"/>
              </w:rPr>
              <w:t>Measurement related requirements</w:t>
            </w:r>
          </w:p>
          <w:p w14:paraId="19F6413D" w14:textId="28C7FEFB" w:rsidR="00296FE3" w:rsidRPr="001F3B31" w:rsidRDefault="00296FE3" w:rsidP="00296FE3">
            <w:pPr>
              <w:pStyle w:val="ListParagraph"/>
              <w:numPr>
                <w:ilvl w:val="0"/>
                <w:numId w:val="31"/>
              </w:numPr>
              <w:spacing w:after="120"/>
              <w:ind w:left="306" w:hanging="284"/>
              <w:rPr>
                <w:color w:val="000000" w:themeColor="text1"/>
                <w:lang w:val="en-GB" w:eastAsia="zh-CN"/>
              </w:rPr>
            </w:pPr>
            <w:r w:rsidRPr="001F3B31">
              <w:rPr>
                <w:color w:val="000000" w:themeColor="text1"/>
                <w:lang w:val="en-GB" w:eastAsia="zh-CN"/>
              </w:rPr>
              <w:t>Which scheduling restrictions apply in FR1 and FR2</w:t>
            </w:r>
          </w:p>
          <w:p w14:paraId="00B225B2" w14:textId="2568BD6C" w:rsidR="00DA2491" w:rsidRPr="00936647" w:rsidRDefault="00DA2491" w:rsidP="00DA2491">
            <w:pPr>
              <w:tabs>
                <w:tab w:val="left" w:pos="555"/>
              </w:tabs>
              <w:rPr>
                <w:color w:val="000000" w:themeColor="text1"/>
                <w:u w:val="single"/>
                <w:lang w:val="en-GB" w:eastAsia="zh-CN"/>
              </w:rPr>
            </w:pPr>
            <w:r w:rsidRPr="00936647">
              <w:rPr>
                <w:color w:val="000000" w:themeColor="text1"/>
                <w:u w:val="single"/>
                <w:lang w:eastAsia="zh-CN"/>
              </w:rPr>
              <w:t xml:space="preserve">Other </w:t>
            </w:r>
            <w:r w:rsidR="00105411">
              <w:rPr>
                <w:color w:val="000000" w:themeColor="text1"/>
                <w:u w:val="single"/>
                <w:lang w:eastAsia="zh-CN"/>
              </w:rPr>
              <w:t>requirement</w:t>
            </w:r>
            <w:r w:rsidRPr="00936647">
              <w:rPr>
                <w:color w:val="000000" w:themeColor="text1"/>
                <w:u w:val="single"/>
                <w:lang w:eastAsia="zh-CN"/>
              </w:rPr>
              <w:t>s</w:t>
            </w:r>
          </w:p>
          <w:p w14:paraId="4094055C" w14:textId="75513C3C" w:rsidR="00105411" w:rsidRDefault="00105411" w:rsidP="00105411">
            <w:pPr>
              <w:pStyle w:val="ListParagraph"/>
              <w:numPr>
                <w:ilvl w:val="0"/>
                <w:numId w:val="9"/>
              </w:numPr>
              <w:tabs>
                <w:tab w:val="left" w:pos="555"/>
              </w:tabs>
              <w:ind w:left="318" w:hanging="318"/>
              <w:contextualSpacing w:val="0"/>
              <w:rPr>
                <w:color w:val="000000" w:themeColor="text1"/>
                <w:lang w:val="en-GB" w:eastAsia="zh-CN"/>
              </w:rPr>
            </w:pPr>
            <w:r>
              <w:rPr>
                <w:color w:val="000000" w:themeColor="text1"/>
                <w:lang w:eastAsia="zh-CN"/>
              </w:rPr>
              <w:t>W</w:t>
            </w:r>
            <w:r w:rsidRPr="00105411">
              <w:rPr>
                <w:color w:val="000000" w:themeColor="text1"/>
                <w:lang w:eastAsia="zh-CN"/>
              </w:rPr>
              <w:t>hether to introduce a mapping table between legacy measurement gap patterns and corresponding NCSG patterns</w:t>
            </w:r>
          </w:p>
          <w:p w14:paraId="4D9FEBC0" w14:textId="52AE9F18" w:rsidR="004055EC" w:rsidRPr="007261C1" w:rsidRDefault="00105411" w:rsidP="007261C1">
            <w:pPr>
              <w:pStyle w:val="ListParagraph"/>
              <w:numPr>
                <w:ilvl w:val="0"/>
                <w:numId w:val="9"/>
              </w:numPr>
              <w:tabs>
                <w:tab w:val="left" w:pos="555"/>
              </w:tabs>
              <w:spacing w:after="120"/>
              <w:ind w:left="318" w:hanging="318"/>
              <w:contextualSpacing w:val="0"/>
              <w:rPr>
                <w:color w:val="000000" w:themeColor="text1"/>
                <w:lang w:val="en-GB" w:eastAsia="zh-CN"/>
              </w:rPr>
            </w:pPr>
            <w:r>
              <w:rPr>
                <w:color w:val="000000" w:themeColor="text1"/>
                <w:lang w:eastAsia="zh-CN"/>
              </w:rPr>
              <w:t>W</w:t>
            </w:r>
            <w:r w:rsidRPr="00105411">
              <w:rPr>
                <w:color w:val="000000" w:themeColor="text1"/>
                <w:lang w:eastAsia="zh-CN"/>
              </w:rPr>
              <w:t>hether to define transformation between NCSG and legacy gap</w:t>
            </w:r>
          </w:p>
        </w:tc>
      </w:tr>
    </w:tbl>
    <w:p w14:paraId="47E70756" w14:textId="2B963253" w:rsidR="00AC1E9A" w:rsidRPr="00B9004F" w:rsidRDefault="004048FA" w:rsidP="00B9004F">
      <w:pPr>
        <w:spacing w:before="240" w:after="120"/>
        <w:ind w:right="-23"/>
        <w:rPr>
          <w:rFonts w:eastAsia="Calibri" w:cs="Times New Roman"/>
          <w:szCs w:val="20"/>
          <w:lang w:val="en-GB"/>
        </w:rPr>
      </w:pPr>
      <w:r w:rsidRPr="00A31E13">
        <w:rPr>
          <w:rFonts w:eastAsia="Calibri" w:cs="Times New Roman"/>
          <w:szCs w:val="20"/>
          <w:lang w:val="en-GB"/>
        </w:rPr>
        <w:t>This contribution provides our view on the</w:t>
      </w:r>
      <w:r w:rsidR="00DA2491">
        <w:rPr>
          <w:rFonts w:eastAsia="Calibri" w:cs="Times New Roman"/>
          <w:szCs w:val="20"/>
          <w:lang w:val="en-GB"/>
        </w:rPr>
        <w:t xml:space="preserve"> </w:t>
      </w:r>
      <w:r w:rsidR="000F31E7">
        <w:rPr>
          <w:rFonts w:eastAsia="Calibri" w:cs="Times New Roman"/>
          <w:szCs w:val="20"/>
          <w:lang w:val="en-GB"/>
        </w:rPr>
        <w:t xml:space="preserve">above </w:t>
      </w:r>
      <w:r w:rsidRPr="00A31E13">
        <w:rPr>
          <w:rFonts w:eastAsia="Calibri" w:cs="Times New Roman"/>
          <w:szCs w:val="20"/>
          <w:lang w:val="en-GB"/>
        </w:rPr>
        <w:t xml:space="preserve">open issues. </w:t>
      </w:r>
    </w:p>
    <w:p w14:paraId="62350C30" w14:textId="0A308E2D" w:rsidR="00FB7FAE" w:rsidRPr="00612A50" w:rsidRDefault="00D448ED" w:rsidP="00FB7FAE">
      <w:pPr>
        <w:pStyle w:val="RAN4H1"/>
      </w:pPr>
      <w:r w:rsidRPr="00612A50">
        <w:t>Discussion</w:t>
      </w:r>
    </w:p>
    <w:p w14:paraId="03CAFA91" w14:textId="3DC91565" w:rsidR="00D86669" w:rsidRPr="00612A50" w:rsidRDefault="00D86669" w:rsidP="00D86669">
      <w:pPr>
        <w:pStyle w:val="RAN4H2"/>
        <w:ind w:left="567" w:hanging="567"/>
        <w:rPr>
          <w:lang w:val="en-GB"/>
        </w:rPr>
      </w:pPr>
      <w:r w:rsidRPr="00612A50">
        <w:rPr>
          <w:lang w:val="en-GB"/>
        </w:rPr>
        <w:t>Scenarios and use cases for NCSG</w:t>
      </w:r>
    </w:p>
    <w:p w14:paraId="19B07AE0" w14:textId="20079D41" w:rsidR="00781970" w:rsidRDefault="00D86669" w:rsidP="00105411">
      <w:pPr>
        <w:spacing w:after="120" w:line="240" w:lineRule="auto"/>
        <w:rPr>
          <w:lang w:val="en-GB"/>
        </w:rPr>
      </w:pPr>
      <w:r w:rsidRPr="00612A50">
        <w:rPr>
          <w:lang w:val="en-GB"/>
        </w:rPr>
        <w:t>RAN4 #</w:t>
      </w:r>
      <w:r w:rsidR="00DD7199">
        <w:rPr>
          <w:lang w:val="en-GB"/>
        </w:rPr>
        <w:t>10</w:t>
      </w:r>
      <w:r w:rsidR="00105411">
        <w:rPr>
          <w:lang w:val="en-GB"/>
        </w:rPr>
        <w:t>1</w:t>
      </w:r>
      <w:r w:rsidR="00C74887" w:rsidRPr="00612A50">
        <w:rPr>
          <w:lang w:val="en-GB"/>
        </w:rPr>
        <w:t>-</w:t>
      </w:r>
      <w:r w:rsidRPr="00612A50">
        <w:rPr>
          <w:lang w:val="en-GB"/>
        </w:rPr>
        <w:t xml:space="preserve">e </w:t>
      </w:r>
      <w:r w:rsidR="00C74887" w:rsidRPr="00612A50">
        <w:rPr>
          <w:lang w:val="en-GB"/>
        </w:rPr>
        <w:t xml:space="preserve">continued the discussion </w:t>
      </w:r>
      <w:r w:rsidRPr="00612A50">
        <w:rPr>
          <w:lang w:val="en-GB"/>
        </w:rPr>
        <w:t xml:space="preserve">on scenarios and use cases for NCSG. </w:t>
      </w:r>
      <w:r w:rsidR="00105411">
        <w:rPr>
          <w:lang w:val="en-GB"/>
        </w:rPr>
        <w:t>Four</w:t>
      </w:r>
      <w:r w:rsidR="00781970" w:rsidRPr="00612A50">
        <w:rPr>
          <w:lang w:val="en-GB"/>
        </w:rPr>
        <w:t xml:space="preserve"> issue</w:t>
      </w:r>
      <w:r w:rsidR="00CF5776">
        <w:rPr>
          <w:lang w:val="en-GB"/>
        </w:rPr>
        <w:t>s</w:t>
      </w:r>
      <w:r w:rsidR="00781970" w:rsidRPr="00612A50">
        <w:rPr>
          <w:lang w:val="en-GB"/>
        </w:rPr>
        <w:t xml:space="preserve"> for further study w</w:t>
      </w:r>
      <w:r w:rsidR="00F63675">
        <w:rPr>
          <w:lang w:val="en-GB"/>
        </w:rPr>
        <w:t>ere</w:t>
      </w:r>
      <w:r w:rsidR="00781970" w:rsidRPr="00612A50">
        <w:rPr>
          <w:lang w:val="en-GB"/>
        </w:rPr>
        <w:t xml:space="preserve"> left. </w:t>
      </w:r>
    </w:p>
    <w:p w14:paraId="2BC73D7C" w14:textId="009F0D63" w:rsidR="00296FE3" w:rsidRPr="00296FE3" w:rsidRDefault="00105411" w:rsidP="00105411">
      <w:pPr>
        <w:pStyle w:val="ListParagraph"/>
        <w:numPr>
          <w:ilvl w:val="0"/>
          <w:numId w:val="9"/>
        </w:numPr>
        <w:spacing w:line="240" w:lineRule="auto"/>
        <w:ind w:left="318" w:hanging="318"/>
        <w:rPr>
          <w:color w:val="000000" w:themeColor="text1"/>
          <w:lang w:val="en-GB" w:eastAsia="zh-CN"/>
        </w:rPr>
      </w:pPr>
      <w:r>
        <w:rPr>
          <w:color w:val="000000" w:themeColor="text1"/>
          <w:lang w:val="en-GB" w:eastAsia="zh-CN"/>
        </w:rPr>
        <w:t>W</w:t>
      </w:r>
      <w:r w:rsidR="00296FE3" w:rsidRPr="00296FE3">
        <w:rPr>
          <w:color w:val="000000" w:themeColor="text1"/>
          <w:lang w:val="en-GB" w:eastAsia="zh-CN"/>
        </w:rPr>
        <w:t>hether NCSG can be used for RRM measurement for dormant SCell</w:t>
      </w:r>
    </w:p>
    <w:p w14:paraId="158E8E26" w14:textId="70D1516C" w:rsidR="00296FE3" w:rsidRPr="00296FE3" w:rsidRDefault="00105411" w:rsidP="00105411">
      <w:pPr>
        <w:pStyle w:val="ListParagraph"/>
        <w:numPr>
          <w:ilvl w:val="0"/>
          <w:numId w:val="9"/>
        </w:numPr>
        <w:spacing w:line="240" w:lineRule="auto"/>
        <w:ind w:left="318" w:hanging="318"/>
        <w:rPr>
          <w:color w:val="000000" w:themeColor="text1"/>
          <w:lang w:val="en-GB" w:eastAsia="zh-CN"/>
        </w:rPr>
      </w:pPr>
      <w:r>
        <w:rPr>
          <w:color w:val="000000" w:themeColor="text1"/>
          <w:lang w:val="en-GB" w:eastAsia="zh-CN"/>
        </w:rPr>
        <w:t>W</w:t>
      </w:r>
      <w:r w:rsidR="00296FE3" w:rsidRPr="00296FE3">
        <w:rPr>
          <w:color w:val="000000" w:themeColor="text1"/>
          <w:lang w:val="en-GB" w:eastAsia="zh-CN"/>
        </w:rPr>
        <w:t xml:space="preserve">hether NCSG can be used for measuring CSI-RS </w:t>
      </w:r>
      <w:r>
        <w:rPr>
          <w:color w:val="000000" w:themeColor="text1"/>
          <w:lang w:val="en-GB" w:eastAsia="zh-CN"/>
        </w:rPr>
        <w:t xml:space="preserve">L3 </w:t>
      </w:r>
      <w:r w:rsidR="00296FE3" w:rsidRPr="00296FE3">
        <w:rPr>
          <w:color w:val="000000" w:themeColor="text1"/>
          <w:lang w:val="en-GB" w:eastAsia="zh-CN"/>
        </w:rPr>
        <w:t xml:space="preserve">based inter-frequency measurement with gap </w:t>
      </w:r>
    </w:p>
    <w:p w14:paraId="18F001F4" w14:textId="77777777" w:rsidR="00296FE3" w:rsidRPr="00296FE3" w:rsidRDefault="00105411" w:rsidP="00105411">
      <w:pPr>
        <w:pStyle w:val="ListParagraph"/>
        <w:numPr>
          <w:ilvl w:val="0"/>
          <w:numId w:val="9"/>
        </w:numPr>
        <w:spacing w:line="240" w:lineRule="auto"/>
        <w:ind w:left="318" w:hanging="318"/>
        <w:rPr>
          <w:color w:val="000000" w:themeColor="text1"/>
          <w:lang w:val="en-GB" w:eastAsia="zh-CN"/>
        </w:rPr>
      </w:pPr>
      <w:r w:rsidRPr="00296FE3">
        <w:rPr>
          <w:color w:val="000000" w:themeColor="text1"/>
          <w:lang w:val="en-GB" w:eastAsia="zh-CN"/>
        </w:rPr>
        <w:t>W</w:t>
      </w:r>
      <w:r w:rsidR="00296FE3" w:rsidRPr="00296FE3">
        <w:rPr>
          <w:color w:val="000000" w:themeColor="text1"/>
          <w:lang w:val="en-GB" w:eastAsia="zh-CN"/>
        </w:rPr>
        <w:t>hether NCSG can be used for EN-DC, NE-DC and NR-DC</w:t>
      </w:r>
    </w:p>
    <w:p w14:paraId="4A879F51" w14:textId="556FC067" w:rsidR="00105411" w:rsidRPr="00296FE3" w:rsidRDefault="00105411" w:rsidP="00105411">
      <w:pPr>
        <w:pStyle w:val="ListParagraph"/>
        <w:numPr>
          <w:ilvl w:val="0"/>
          <w:numId w:val="9"/>
        </w:numPr>
        <w:spacing w:after="120" w:line="240" w:lineRule="auto"/>
        <w:ind w:left="318" w:hanging="318"/>
        <w:contextualSpacing w:val="0"/>
        <w:rPr>
          <w:color w:val="000000" w:themeColor="text1"/>
          <w:lang w:val="en-GB" w:eastAsia="zh-CN"/>
        </w:rPr>
      </w:pPr>
      <w:r>
        <w:rPr>
          <w:color w:val="000000" w:themeColor="text1"/>
          <w:lang w:val="en-GB" w:eastAsia="zh-CN"/>
        </w:rPr>
        <w:t>U</w:t>
      </w:r>
      <w:r w:rsidR="00296FE3" w:rsidRPr="00296FE3">
        <w:rPr>
          <w:color w:val="000000" w:themeColor="text1"/>
          <w:lang w:val="en-GB" w:eastAsia="zh-CN"/>
        </w:rPr>
        <w:t>nder which conditions NSCG is applicable in FR2.</w:t>
      </w:r>
    </w:p>
    <w:p w14:paraId="63E92082" w14:textId="51F686C9" w:rsidR="00DD7199" w:rsidRDefault="004C6282" w:rsidP="00D86669">
      <w:pPr>
        <w:rPr>
          <w:lang w:val="en-GB"/>
        </w:rPr>
      </w:pPr>
      <w:r>
        <w:rPr>
          <w:lang w:val="en-GB"/>
        </w:rPr>
        <w:t>For the first issue, d</w:t>
      </w:r>
      <w:r w:rsidR="00DD7199">
        <w:rPr>
          <w:lang w:val="en-GB"/>
        </w:rPr>
        <w:t xml:space="preserve">uring the discussion </w:t>
      </w:r>
      <w:r>
        <w:rPr>
          <w:lang w:val="en-GB"/>
        </w:rPr>
        <w:t>at RAN4 #100-e</w:t>
      </w:r>
      <w:r w:rsidR="00DD7199">
        <w:rPr>
          <w:lang w:val="en-GB"/>
        </w:rPr>
        <w:t xml:space="preserve">, it was elaborated </w:t>
      </w:r>
      <w:r w:rsidR="00E27CA9">
        <w:rPr>
          <w:lang w:val="en-GB"/>
        </w:rPr>
        <w:t xml:space="preserve">by companies </w:t>
      </w:r>
      <w:r w:rsidR="00DD7199">
        <w:rPr>
          <w:lang w:val="en-GB"/>
        </w:rPr>
        <w:t xml:space="preserve">that there is </w:t>
      </w:r>
      <w:r w:rsidR="00E27CA9">
        <w:rPr>
          <w:lang w:val="en-GB"/>
        </w:rPr>
        <w:t>limited</w:t>
      </w:r>
      <w:r w:rsidR="00DD7199">
        <w:rPr>
          <w:lang w:val="en-GB"/>
        </w:rPr>
        <w:t xml:space="preserve"> gain</w:t>
      </w:r>
      <w:r w:rsidR="00E27CA9">
        <w:rPr>
          <w:lang w:val="en-GB"/>
        </w:rPr>
        <w:t xml:space="preserve"> in power saving by using NCSG for dormant SCell and that </w:t>
      </w:r>
      <w:r w:rsidR="00447331">
        <w:rPr>
          <w:lang w:val="en-GB"/>
        </w:rPr>
        <w:t xml:space="preserve">Rx </w:t>
      </w:r>
      <w:r w:rsidR="00E27CA9">
        <w:rPr>
          <w:lang w:val="en-GB"/>
        </w:rPr>
        <w:t>resources for beam measurement, C</w:t>
      </w:r>
      <w:r w:rsidR="00447331">
        <w:rPr>
          <w:lang w:val="en-GB"/>
        </w:rPr>
        <w:t>Q</w:t>
      </w:r>
      <w:r w:rsidR="00E27CA9">
        <w:rPr>
          <w:lang w:val="en-GB"/>
        </w:rPr>
        <w:t>I and Time/Frequency tracking would also be needed. Thus, NCSG usage for measuring dormant cells requires further study on the feasibility and given the time frame of Rel-17</w:t>
      </w:r>
      <w:r w:rsidR="00447331">
        <w:rPr>
          <w:lang w:val="en-GB"/>
        </w:rPr>
        <w:t xml:space="preserve">, </w:t>
      </w:r>
      <w:r w:rsidR="00E27CA9">
        <w:rPr>
          <w:lang w:val="en-GB"/>
        </w:rPr>
        <w:t>this scenario should be de-prioritized.</w:t>
      </w:r>
    </w:p>
    <w:p w14:paraId="7A4B9419" w14:textId="77777777" w:rsidR="00E27CA9" w:rsidRPr="00612A50" w:rsidRDefault="00E27CA9" w:rsidP="00E27CA9">
      <w:pPr>
        <w:rPr>
          <w:lang w:val="en-GB"/>
        </w:rPr>
      </w:pPr>
      <w:r w:rsidRPr="00612A50">
        <w:rPr>
          <w:lang w:val="en-GB"/>
        </w:rPr>
        <w:t>The following proposal is made.</w:t>
      </w:r>
    </w:p>
    <w:p w14:paraId="7815C972" w14:textId="1AD8EF17" w:rsidR="00E27CA9" w:rsidRDefault="00E27CA9" w:rsidP="00F63675">
      <w:pPr>
        <w:pStyle w:val="RAN4proposal"/>
        <w:tabs>
          <w:tab w:val="left" w:pos="1134"/>
        </w:tabs>
        <w:spacing w:after="240"/>
        <w:ind w:left="1134" w:hanging="1134"/>
      </w:pPr>
      <w:r w:rsidRPr="00612A50">
        <w:tab/>
      </w:r>
      <w:r>
        <w:t xml:space="preserve">De-prioritize the scenario of NCSG support for measuring dormant SCell. </w:t>
      </w:r>
    </w:p>
    <w:p w14:paraId="172606D5" w14:textId="2432F5A6" w:rsidR="00850463" w:rsidRDefault="00447331" w:rsidP="00447331">
      <w:pPr>
        <w:rPr>
          <w:lang w:val="en-GB"/>
        </w:rPr>
      </w:pPr>
      <w:r>
        <w:rPr>
          <w:lang w:val="en-GB"/>
        </w:rPr>
        <w:t xml:space="preserve">The second issue </w:t>
      </w:r>
      <w:r w:rsidR="00850463">
        <w:rPr>
          <w:lang w:val="en-GB"/>
        </w:rPr>
        <w:t>is based on the RAN4 #99-e agreement:</w:t>
      </w:r>
    </w:p>
    <w:p w14:paraId="28E0D925" w14:textId="77777777" w:rsidR="00850463" w:rsidRPr="00850463" w:rsidRDefault="00850463" w:rsidP="00850463">
      <w:pPr>
        <w:pStyle w:val="ListParagraph"/>
        <w:numPr>
          <w:ilvl w:val="0"/>
          <w:numId w:val="7"/>
        </w:numPr>
        <w:tabs>
          <w:tab w:val="clear" w:pos="720"/>
        </w:tabs>
        <w:ind w:left="306" w:hanging="306"/>
        <w:rPr>
          <w:color w:val="000000" w:themeColor="text1"/>
          <w:lang w:val="en-GB" w:eastAsia="zh-CN"/>
        </w:rPr>
      </w:pPr>
      <w:r w:rsidRPr="00850463">
        <w:rPr>
          <w:color w:val="000000" w:themeColor="text1"/>
          <w:lang w:val="en-GB" w:eastAsia="zh-CN"/>
        </w:rPr>
        <w:t xml:space="preserve">NCSG can be used for intra-frequency measurements with MG, inter-frequency measurements with MG, inter-RAT measurements. </w:t>
      </w:r>
    </w:p>
    <w:p w14:paraId="4A418F3E" w14:textId="77777777" w:rsidR="00850463" w:rsidRDefault="00850463" w:rsidP="00850463">
      <w:pPr>
        <w:rPr>
          <w:lang w:val="en-GB"/>
        </w:rPr>
      </w:pPr>
      <w:r>
        <w:rPr>
          <w:lang w:val="en-GB"/>
        </w:rPr>
        <w:t xml:space="preserve">and we support this scenario for CSI-RS L3 measurements. </w:t>
      </w:r>
    </w:p>
    <w:p w14:paraId="3E38B1F9" w14:textId="77777777" w:rsidR="00850463" w:rsidRPr="00612A50" w:rsidRDefault="00850463" w:rsidP="00850463">
      <w:pPr>
        <w:rPr>
          <w:lang w:val="en-GB"/>
        </w:rPr>
      </w:pPr>
      <w:r w:rsidRPr="00612A50">
        <w:rPr>
          <w:lang w:val="en-GB"/>
        </w:rPr>
        <w:t>The following proposal is made.</w:t>
      </w:r>
    </w:p>
    <w:p w14:paraId="20106491" w14:textId="032C2B69" w:rsidR="00850463" w:rsidRDefault="00850463" w:rsidP="00CF5776">
      <w:pPr>
        <w:pStyle w:val="RAN4proposal"/>
        <w:spacing w:after="240"/>
        <w:ind w:left="1134" w:hanging="1134"/>
        <w:rPr>
          <w:color w:val="000000" w:themeColor="text1"/>
          <w:lang w:val="en-GB" w:eastAsia="zh-CN"/>
        </w:rPr>
      </w:pPr>
      <w:r w:rsidRPr="00612A50">
        <w:tab/>
      </w:r>
      <w:r w:rsidRPr="004C6282">
        <w:t xml:space="preserve">NCSG </w:t>
      </w:r>
      <w:r w:rsidR="00105411" w:rsidRPr="004C6282">
        <w:t>can be used</w:t>
      </w:r>
      <w:r w:rsidRPr="004C6282">
        <w:t xml:space="preserve"> for</w:t>
      </w:r>
      <w:r w:rsidR="00105411" w:rsidRPr="004C6282">
        <w:t xml:space="preserve"> </w:t>
      </w:r>
      <w:r w:rsidR="004055EC" w:rsidRPr="004C6282">
        <w:rPr>
          <w:color w:val="000000" w:themeColor="text1"/>
          <w:lang w:val="en-GB" w:eastAsia="zh-CN"/>
        </w:rPr>
        <w:t>measuring</w:t>
      </w:r>
      <w:r w:rsidR="004055EC" w:rsidRPr="004055EC">
        <w:rPr>
          <w:color w:val="000000" w:themeColor="text1"/>
          <w:lang w:val="en-GB" w:eastAsia="zh-CN"/>
        </w:rPr>
        <w:t xml:space="preserve"> CSI-RS</w:t>
      </w:r>
      <w:r>
        <w:rPr>
          <w:color w:val="000000" w:themeColor="text1"/>
          <w:lang w:val="en-GB" w:eastAsia="zh-CN"/>
        </w:rPr>
        <w:t xml:space="preserve"> L3</w:t>
      </w:r>
      <w:r w:rsidR="004055EC" w:rsidRPr="004055EC">
        <w:rPr>
          <w:color w:val="000000" w:themeColor="text1"/>
          <w:lang w:val="en-GB" w:eastAsia="zh-CN"/>
        </w:rPr>
        <w:t xml:space="preserve"> based inter-frequency measurement with gap</w:t>
      </w:r>
      <w:r>
        <w:rPr>
          <w:color w:val="000000" w:themeColor="text1"/>
          <w:lang w:val="en-GB" w:eastAsia="zh-CN"/>
        </w:rPr>
        <w:t>.</w:t>
      </w:r>
    </w:p>
    <w:p w14:paraId="19916F4E" w14:textId="25859C72" w:rsidR="00CF5776" w:rsidRDefault="00CF5776" w:rsidP="00CF5776">
      <w:r>
        <w:rPr>
          <w:lang w:val="en-GB" w:eastAsia="zh-CN"/>
        </w:rPr>
        <w:lastRenderedPageBreak/>
        <w:t>The third issue is related to support for DC scenarios</w:t>
      </w:r>
      <w:r w:rsidR="004C6282">
        <w:rPr>
          <w:lang w:val="en-GB" w:eastAsia="zh-CN"/>
        </w:rPr>
        <w:t xml:space="preserve"> (EN-DC, NE-DC and NR-DC)</w:t>
      </w:r>
      <w:r>
        <w:rPr>
          <w:lang w:val="en-GB" w:eastAsia="zh-CN"/>
        </w:rPr>
        <w:t xml:space="preserve">. </w:t>
      </w:r>
      <w:r w:rsidR="004C6282">
        <w:rPr>
          <w:lang w:val="en-GB" w:eastAsia="zh-CN"/>
        </w:rPr>
        <w:t xml:space="preserve">An LS [3] has been sent to RAN2 to receive guidance on the feasibility, hence RAN4 is to wait on RAN2’s feedback. It is noted that RAN2 has not introduced the dynamic NeedForGap signalling in Rel-16 for the MR-DC due to </w:t>
      </w:r>
      <w:r w:rsidR="00C260DF">
        <w:rPr>
          <w:lang w:val="en-GB" w:eastAsia="zh-CN"/>
        </w:rPr>
        <w:t xml:space="preserve">release </w:t>
      </w:r>
      <w:r w:rsidR="004C6282">
        <w:rPr>
          <w:lang w:val="en-GB" w:eastAsia="zh-CN"/>
        </w:rPr>
        <w:t xml:space="preserve">timing and </w:t>
      </w:r>
      <w:r w:rsidR="00C260DF">
        <w:rPr>
          <w:lang w:val="en-GB" w:eastAsia="zh-CN"/>
        </w:rPr>
        <w:t xml:space="preserve">complexity issues. </w:t>
      </w:r>
      <w:r w:rsidR="004C6282">
        <w:rPr>
          <w:lang w:val="en-GB" w:eastAsia="zh-CN"/>
        </w:rPr>
        <w:t xml:space="preserve"> </w:t>
      </w:r>
      <w:r w:rsidR="00C260DF">
        <w:rPr>
          <w:lang w:val="en-GB" w:eastAsia="zh-CN"/>
        </w:rPr>
        <w:t>Thus, we do not see that this effort can be made in R</w:t>
      </w:r>
      <w:r w:rsidR="0092340B">
        <w:rPr>
          <w:lang w:val="en-GB" w:eastAsia="zh-CN"/>
        </w:rPr>
        <w:t>el</w:t>
      </w:r>
      <w:r w:rsidR="00C260DF">
        <w:rPr>
          <w:lang w:val="en-GB" w:eastAsia="zh-CN"/>
        </w:rPr>
        <w:t xml:space="preserve">-17, both from RAN2 and RAN4 side. </w:t>
      </w:r>
    </w:p>
    <w:p w14:paraId="39C90A81" w14:textId="7BD672DB" w:rsidR="00093CAE" w:rsidRPr="00CF5776" w:rsidRDefault="00093CAE" w:rsidP="00CF5776">
      <w:pPr>
        <w:rPr>
          <w:lang w:val="en-GB"/>
        </w:rPr>
      </w:pPr>
      <w:r w:rsidRPr="00612A50">
        <w:rPr>
          <w:lang w:val="en-GB"/>
        </w:rPr>
        <w:t>The following proposal is made.</w:t>
      </w:r>
    </w:p>
    <w:p w14:paraId="41325B07" w14:textId="4F0ADBC8" w:rsidR="00CF5776" w:rsidRDefault="00CF5776" w:rsidP="00CF5776">
      <w:pPr>
        <w:pStyle w:val="RAN4proposal"/>
        <w:ind w:left="1134" w:hanging="1134"/>
        <w:rPr>
          <w:lang w:val="en-GB" w:eastAsia="zh-CN"/>
        </w:rPr>
      </w:pPr>
      <w:r>
        <w:rPr>
          <w:lang w:val="en-GB" w:eastAsia="zh-CN"/>
        </w:rPr>
        <w:tab/>
      </w:r>
      <w:r w:rsidR="00C260DF">
        <w:rPr>
          <w:lang w:val="en-GB" w:eastAsia="zh-CN"/>
        </w:rPr>
        <w:t xml:space="preserve">The support of </w:t>
      </w:r>
      <w:r w:rsidR="00C260DF" w:rsidRPr="00C260DF">
        <w:rPr>
          <w:lang w:val="en-GB" w:eastAsia="zh-CN"/>
        </w:rPr>
        <w:t>NCSG in EN-DC, NE-DC and NR-DC is de-priori</w:t>
      </w:r>
      <w:r w:rsidR="00C260DF">
        <w:rPr>
          <w:lang w:val="en-GB" w:eastAsia="zh-CN"/>
        </w:rPr>
        <w:t xml:space="preserve">tized </w:t>
      </w:r>
      <w:r w:rsidR="00C260DF" w:rsidRPr="00C260DF">
        <w:rPr>
          <w:lang w:val="en-GB" w:eastAsia="zh-CN"/>
        </w:rPr>
        <w:t>in R</w:t>
      </w:r>
      <w:r w:rsidR="0092340B">
        <w:rPr>
          <w:lang w:val="en-GB" w:eastAsia="zh-CN"/>
        </w:rPr>
        <w:t>el-</w:t>
      </w:r>
      <w:r w:rsidR="00C260DF" w:rsidRPr="00C260DF">
        <w:rPr>
          <w:lang w:val="en-GB" w:eastAsia="zh-CN"/>
        </w:rPr>
        <w:t>17.</w:t>
      </w:r>
    </w:p>
    <w:p w14:paraId="72D93BB0" w14:textId="23B5A443" w:rsidR="009105EF" w:rsidRDefault="00C260DF" w:rsidP="00C260DF">
      <w:pPr>
        <w:rPr>
          <w:lang w:val="en-GB" w:eastAsia="zh-CN"/>
        </w:rPr>
      </w:pPr>
      <w:r>
        <w:rPr>
          <w:lang w:val="en-GB" w:eastAsia="zh-CN"/>
        </w:rPr>
        <w:t xml:space="preserve">The fourth issue is related to NCSG support in FR2. </w:t>
      </w:r>
      <w:r w:rsidR="009105EF">
        <w:rPr>
          <w:lang w:val="en-GB" w:eastAsia="zh-CN"/>
        </w:rPr>
        <w:t>At RAN4 #101-e the discussion was continued and aside the IBM case, the CBM case was proposed to be added [4]. However, the CBM case is more complex and requires further study.  Hence we propose to agree on Option 2A and consider NCSG usage in FR2 based on IBM condition.</w:t>
      </w:r>
    </w:p>
    <w:tbl>
      <w:tblPr>
        <w:tblStyle w:val="TableGrid"/>
        <w:tblW w:w="0" w:type="auto"/>
        <w:tblLook w:val="04A0" w:firstRow="1" w:lastRow="0" w:firstColumn="1" w:lastColumn="0" w:noHBand="0" w:noVBand="1"/>
      </w:tblPr>
      <w:tblGrid>
        <w:gridCol w:w="9617"/>
      </w:tblGrid>
      <w:tr w:rsidR="009105EF" w14:paraId="2DF99C0C" w14:textId="77777777" w:rsidTr="009105EF">
        <w:tc>
          <w:tcPr>
            <w:tcW w:w="9617" w:type="dxa"/>
          </w:tcPr>
          <w:p w14:paraId="0F0DBAC0" w14:textId="77777777" w:rsidR="009105EF" w:rsidRPr="009105EF" w:rsidRDefault="009105EF" w:rsidP="009105EF">
            <w:pPr>
              <w:pStyle w:val="ListParagraph"/>
              <w:numPr>
                <w:ilvl w:val="1"/>
                <w:numId w:val="33"/>
              </w:numPr>
              <w:spacing w:before="60" w:after="60"/>
              <w:ind w:left="1083" w:hanging="357"/>
              <w:contextualSpacing w:val="0"/>
              <w:rPr>
                <w:color w:val="000000" w:themeColor="text1"/>
              </w:rPr>
            </w:pPr>
            <w:r w:rsidRPr="009105EF">
              <w:rPr>
                <w:color w:val="000000" w:themeColor="text1"/>
              </w:rPr>
              <w:t xml:space="preserve">Option 2: NCSG is applicable in FR2 </w:t>
            </w:r>
          </w:p>
          <w:p w14:paraId="1CC211D2" w14:textId="77777777" w:rsidR="009105EF" w:rsidRPr="009105EF" w:rsidRDefault="009105EF" w:rsidP="009105EF">
            <w:pPr>
              <w:pStyle w:val="ListParagraph"/>
              <w:numPr>
                <w:ilvl w:val="2"/>
                <w:numId w:val="33"/>
              </w:numPr>
              <w:spacing w:before="60" w:after="60"/>
              <w:ind w:hanging="357"/>
              <w:contextualSpacing w:val="0"/>
              <w:rPr>
                <w:color w:val="000000" w:themeColor="text1"/>
              </w:rPr>
            </w:pPr>
            <w:r w:rsidRPr="009105EF">
              <w:rPr>
                <w:color w:val="000000" w:themeColor="text1"/>
              </w:rPr>
              <w:t>Option 2A</w:t>
            </w:r>
            <w:r w:rsidRPr="009105EF">
              <w:rPr>
                <w:color w:val="000000" w:themeColor="text1"/>
                <w:lang w:val="en-GB" w:eastAsia="zh-CN"/>
              </w:rPr>
              <w:t xml:space="preserve">: </w:t>
            </w:r>
            <w:r w:rsidRPr="009105EF">
              <w:rPr>
                <w:color w:val="000000" w:themeColor="text1"/>
              </w:rPr>
              <w:t>NCSG is applicable only when the following conditions hold</w:t>
            </w:r>
          </w:p>
          <w:p w14:paraId="5C32765C" w14:textId="77777777" w:rsidR="009105EF" w:rsidRPr="009105EF" w:rsidRDefault="009105EF" w:rsidP="009105EF">
            <w:pPr>
              <w:pStyle w:val="ListParagraph"/>
              <w:numPr>
                <w:ilvl w:val="3"/>
                <w:numId w:val="33"/>
              </w:numPr>
              <w:spacing w:before="60" w:after="60"/>
              <w:ind w:hanging="357"/>
              <w:contextualSpacing w:val="0"/>
              <w:rPr>
                <w:color w:val="000000" w:themeColor="text1"/>
              </w:rPr>
            </w:pPr>
            <w:r w:rsidRPr="009105EF">
              <w:rPr>
                <w:color w:val="000000" w:themeColor="text1"/>
              </w:rPr>
              <w:t>The serving cell(s) and the target cell are on different bands.</w:t>
            </w:r>
          </w:p>
          <w:p w14:paraId="78F57FA8" w14:textId="62BAF6D2" w:rsidR="009105EF" w:rsidRDefault="009105EF" w:rsidP="009105EF">
            <w:pPr>
              <w:pStyle w:val="ListParagraph"/>
              <w:numPr>
                <w:ilvl w:val="3"/>
                <w:numId w:val="33"/>
              </w:numPr>
              <w:spacing w:before="60" w:after="60"/>
              <w:ind w:hanging="357"/>
              <w:contextualSpacing w:val="0"/>
              <w:rPr>
                <w:color w:val="000000" w:themeColor="text1"/>
              </w:rPr>
            </w:pPr>
            <w:r w:rsidRPr="009105EF">
              <w:rPr>
                <w:color w:val="000000" w:themeColor="text1"/>
              </w:rPr>
              <w:t>UE is performing IBM on the serving cell band and the target cell band.</w:t>
            </w:r>
          </w:p>
          <w:p w14:paraId="5CEDE867" w14:textId="75207355" w:rsidR="009105EF" w:rsidRPr="009105EF" w:rsidRDefault="009105EF" w:rsidP="009105EF">
            <w:pPr>
              <w:pStyle w:val="ListParagraph"/>
              <w:numPr>
                <w:ilvl w:val="3"/>
                <w:numId w:val="33"/>
              </w:numPr>
              <w:spacing w:before="60" w:after="120"/>
              <w:ind w:left="2517" w:hanging="357"/>
              <w:contextualSpacing w:val="0"/>
              <w:rPr>
                <w:color w:val="000000" w:themeColor="text1"/>
              </w:rPr>
            </w:pPr>
            <w:r w:rsidRPr="009105EF">
              <w:rPr>
                <w:color w:val="000000" w:themeColor="text1"/>
              </w:rPr>
              <w:t>UE has a spared chain for target cell measurement</w:t>
            </w:r>
          </w:p>
        </w:tc>
      </w:tr>
    </w:tbl>
    <w:p w14:paraId="6BEB02FF" w14:textId="77777777" w:rsidR="00C260DF" w:rsidRPr="00CF5776" w:rsidRDefault="00C260DF" w:rsidP="0092340B">
      <w:pPr>
        <w:spacing w:before="240"/>
        <w:rPr>
          <w:lang w:val="en-GB"/>
        </w:rPr>
      </w:pPr>
      <w:r w:rsidRPr="00612A50">
        <w:rPr>
          <w:lang w:val="en-GB"/>
        </w:rPr>
        <w:t>The following proposal is made.</w:t>
      </w:r>
    </w:p>
    <w:p w14:paraId="6F2A8A6A" w14:textId="47ABCAF3" w:rsidR="00C260DF" w:rsidRPr="0092340B" w:rsidRDefault="00C260DF" w:rsidP="00541178">
      <w:pPr>
        <w:pStyle w:val="RAN4proposal"/>
        <w:ind w:left="1134" w:hanging="1134"/>
        <w:rPr>
          <w:lang w:val="en-GB" w:eastAsia="zh-CN"/>
        </w:rPr>
      </w:pPr>
      <w:r w:rsidRPr="0092340B">
        <w:rPr>
          <w:lang w:val="en-GB" w:eastAsia="zh-CN"/>
        </w:rPr>
        <w:tab/>
      </w:r>
      <w:r w:rsidR="0092340B" w:rsidRPr="0092340B">
        <w:rPr>
          <w:lang w:val="en-GB" w:eastAsia="zh-CN"/>
        </w:rPr>
        <w:t>NCSG is applicable in FR2</w:t>
      </w:r>
      <w:r w:rsidR="0092340B">
        <w:rPr>
          <w:lang w:val="en-GB" w:eastAsia="zh-CN"/>
        </w:rPr>
        <w:t xml:space="preserve"> for Rel-17</w:t>
      </w:r>
      <w:r w:rsidR="0092340B" w:rsidRPr="0092340B">
        <w:rPr>
          <w:lang w:val="en-GB" w:eastAsia="zh-CN"/>
        </w:rPr>
        <w:t xml:space="preserve"> under conditions listed in Option 2A</w:t>
      </w:r>
      <w:r w:rsidR="003776DA">
        <w:rPr>
          <w:lang w:val="en-GB" w:eastAsia="zh-CN"/>
        </w:rPr>
        <w:t xml:space="preserve"> in WF [2]</w:t>
      </w:r>
      <w:r w:rsidR="0092340B" w:rsidRPr="0092340B">
        <w:rPr>
          <w:lang w:val="en-GB" w:eastAsia="zh-CN"/>
        </w:rPr>
        <w:t xml:space="preserve">. </w:t>
      </w:r>
    </w:p>
    <w:p w14:paraId="0FCC4DF2" w14:textId="114928E6" w:rsidR="00810316" w:rsidRPr="00612A50" w:rsidRDefault="00247EEE" w:rsidP="00326218">
      <w:pPr>
        <w:pStyle w:val="RAN4H2"/>
        <w:ind w:left="567" w:hanging="567"/>
        <w:rPr>
          <w:color w:val="000000" w:themeColor="text1"/>
          <w:lang w:val="en-GB"/>
        </w:rPr>
      </w:pPr>
      <w:r>
        <w:rPr>
          <w:color w:val="000000" w:themeColor="text1"/>
          <w:lang w:val="en-GB"/>
        </w:rPr>
        <w:t xml:space="preserve">Mandatory </w:t>
      </w:r>
      <w:r w:rsidR="006A1817" w:rsidRPr="00612A50">
        <w:rPr>
          <w:color w:val="000000" w:themeColor="text1"/>
          <w:lang w:val="en-GB"/>
        </w:rPr>
        <w:t>NCSG pattern</w:t>
      </w:r>
      <w:r w:rsidR="0092340B">
        <w:rPr>
          <w:color w:val="000000" w:themeColor="text1"/>
          <w:lang w:val="en-GB"/>
        </w:rPr>
        <w:t>s</w:t>
      </w:r>
    </w:p>
    <w:p w14:paraId="128E9BC9" w14:textId="068053B0" w:rsidR="00D448ED" w:rsidRPr="00612A50" w:rsidRDefault="005E0A4F" w:rsidP="00FB7FAE">
      <w:pPr>
        <w:rPr>
          <w:color w:val="000000" w:themeColor="text1"/>
          <w:lang w:val="en-GB"/>
        </w:rPr>
      </w:pPr>
      <w:r w:rsidRPr="00612A50">
        <w:rPr>
          <w:lang w:val="en-GB"/>
        </w:rPr>
        <w:t>RAN4 #</w:t>
      </w:r>
      <w:r w:rsidR="001D58BC">
        <w:rPr>
          <w:lang w:val="en-GB"/>
        </w:rPr>
        <w:t>10</w:t>
      </w:r>
      <w:r w:rsidR="0092340B">
        <w:rPr>
          <w:lang w:val="en-GB"/>
        </w:rPr>
        <w:t>1</w:t>
      </w:r>
      <w:r w:rsidRPr="00612A50">
        <w:rPr>
          <w:lang w:val="en-GB"/>
        </w:rPr>
        <w:t xml:space="preserve">-e </w:t>
      </w:r>
      <w:r w:rsidR="00D60AC9">
        <w:rPr>
          <w:lang w:val="en-GB"/>
        </w:rPr>
        <w:t xml:space="preserve">agreed </w:t>
      </w:r>
      <w:r w:rsidR="00D60AC9" w:rsidRPr="00D60AC9">
        <w:rPr>
          <w:lang w:val="en-GB"/>
        </w:rPr>
        <w:t>NCSG patterns corresponding to legacy patterns #0 and #1 are mandatorily supported if UE supports NCSG</w:t>
      </w:r>
      <w:r w:rsidR="00D60AC9">
        <w:rPr>
          <w:lang w:val="en-GB"/>
        </w:rPr>
        <w:t xml:space="preserve"> [2]</w:t>
      </w:r>
      <w:r w:rsidR="00D60AC9" w:rsidRPr="00D60AC9">
        <w:rPr>
          <w:lang w:val="en-GB"/>
        </w:rPr>
        <w:t xml:space="preserve">. </w:t>
      </w:r>
      <w:r w:rsidR="00D60AC9">
        <w:rPr>
          <w:lang w:val="en-GB"/>
        </w:rPr>
        <w:t xml:space="preserve">No agreement was found to specify further mandatory NCSG patterns on top of these. Most companies supported the existing gap applicability in Rel-16 for NR only measurements to be reused for NCSG. In order to progress on this open issue, we can support this option, which will not define additional mandatory NCSG patterns. </w:t>
      </w:r>
    </w:p>
    <w:p w14:paraId="63989857" w14:textId="0FABC5AA" w:rsidR="00361A17" w:rsidRPr="00361A17" w:rsidRDefault="00361A17" w:rsidP="00361A17">
      <w:pPr>
        <w:rPr>
          <w:color w:val="000000" w:themeColor="text1"/>
          <w:lang w:val="en-GB"/>
        </w:rPr>
      </w:pPr>
      <w:r w:rsidRPr="00612A50">
        <w:rPr>
          <w:color w:val="000000" w:themeColor="text1"/>
          <w:lang w:val="en-GB"/>
        </w:rPr>
        <w:t>The following proposal is made.</w:t>
      </w:r>
    </w:p>
    <w:p w14:paraId="30DCC072" w14:textId="560EFD5F" w:rsidR="00361A17" w:rsidRPr="00361A17" w:rsidRDefault="00361A17" w:rsidP="00FB7FAE">
      <w:pPr>
        <w:pStyle w:val="RAN4proposal"/>
        <w:tabs>
          <w:tab w:val="left" w:pos="1134"/>
        </w:tabs>
        <w:spacing w:after="240"/>
        <w:ind w:left="1134" w:hanging="1134"/>
        <w:rPr>
          <w:lang w:val="en-GB"/>
        </w:rPr>
      </w:pPr>
      <w:r w:rsidRPr="00612A50">
        <w:rPr>
          <w:color w:val="000000" w:themeColor="text1"/>
          <w:lang w:val="en-GB"/>
        </w:rPr>
        <w:tab/>
      </w:r>
      <w:r w:rsidR="00D60AC9">
        <w:rPr>
          <w:color w:val="000000" w:themeColor="text1"/>
          <w:lang w:val="en-GB"/>
        </w:rPr>
        <w:t xml:space="preserve">No additional mandatory NSCG </w:t>
      </w:r>
      <w:r w:rsidR="00247EEE">
        <w:rPr>
          <w:color w:val="000000" w:themeColor="text1"/>
          <w:lang w:val="en-GB"/>
        </w:rPr>
        <w:t xml:space="preserve">pattern </w:t>
      </w:r>
      <w:r w:rsidR="00D60AC9">
        <w:rPr>
          <w:color w:val="000000" w:themeColor="text1"/>
          <w:lang w:val="en-GB"/>
        </w:rPr>
        <w:t>beyond NCSG pattern</w:t>
      </w:r>
      <w:r w:rsidR="00247EEE">
        <w:rPr>
          <w:color w:val="000000" w:themeColor="text1"/>
          <w:lang w:val="en-GB"/>
        </w:rPr>
        <w:t>s</w:t>
      </w:r>
      <w:r w:rsidR="00D60AC9">
        <w:rPr>
          <w:color w:val="000000" w:themeColor="text1"/>
          <w:lang w:val="en-GB"/>
        </w:rPr>
        <w:t xml:space="preserve"> #0 and </w:t>
      </w:r>
      <w:r w:rsidR="00247EEE">
        <w:rPr>
          <w:color w:val="000000" w:themeColor="text1"/>
          <w:lang w:val="en-GB"/>
        </w:rPr>
        <w:t>#</w:t>
      </w:r>
      <w:r w:rsidR="00D60AC9">
        <w:rPr>
          <w:color w:val="000000" w:themeColor="text1"/>
          <w:lang w:val="en-GB"/>
        </w:rPr>
        <w:t xml:space="preserve">1 will be specified. </w:t>
      </w:r>
      <w:r w:rsidR="00247EEE" w:rsidRPr="00247EEE">
        <w:rPr>
          <w:color w:val="000000" w:themeColor="text1"/>
          <w:lang w:val="en-GB"/>
        </w:rPr>
        <w:t>Existing gap applicability in Rel-16 for NR-only measurements and mandatory gap patterns is re-used for NCSG capable UEs.</w:t>
      </w:r>
    </w:p>
    <w:p w14:paraId="4D15224D" w14:textId="47613D8C" w:rsidR="00646CBB" w:rsidRPr="00612A50" w:rsidRDefault="00247EEE" w:rsidP="006A3D93">
      <w:pPr>
        <w:pStyle w:val="RAN4H2"/>
        <w:ind w:left="567" w:hanging="567"/>
        <w:rPr>
          <w:lang w:val="en-GB"/>
        </w:rPr>
      </w:pPr>
      <w:r>
        <w:rPr>
          <w:lang w:val="en-GB"/>
        </w:rPr>
        <w:t xml:space="preserve">Additional </w:t>
      </w:r>
      <w:r w:rsidR="00646CBB" w:rsidRPr="00612A50">
        <w:rPr>
          <w:lang w:val="en-GB"/>
        </w:rPr>
        <w:t>NCSG capability</w:t>
      </w:r>
    </w:p>
    <w:p w14:paraId="78978075" w14:textId="1B0E0C5B" w:rsidR="00124385" w:rsidRDefault="00247EEE" w:rsidP="00124385">
      <w:pPr>
        <w:rPr>
          <w:lang w:val="en-GB"/>
        </w:rPr>
      </w:pPr>
      <w:r>
        <w:rPr>
          <w:lang w:val="en-GB"/>
        </w:rPr>
        <w:t>One</w:t>
      </w:r>
      <w:r w:rsidR="00124385">
        <w:rPr>
          <w:lang w:val="en-GB"/>
        </w:rPr>
        <w:t xml:space="preserve"> issue raised at RAN4 #100-e</w:t>
      </w:r>
      <w:r>
        <w:rPr>
          <w:lang w:val="en-GB"/>
        </w:rPr>
        <w:t xml:space="preserve"> and further discussed at RAN4 #101-e is</w:t>
      </w:r>
      <w:r w:rsidR="00124385">
        <w:rPr>
          <w:lang w:val="en-GB"/>
        </w:rPr>
        <w:t xml:space="preserve">, whether </w:t>
      </w:r>
      <w:r w:rsidR="00397BC2">
        <w:rPr>
          <w:lang w:val="en-GB"/>
        </w:rPr>
        <w:t xml:space="preserve">additional </w:t>
      </w:r>
      <w:r w:rsidR="00124385">
        <w:rPr>
          <w:lang w:val="en-GB"/>
        </w:rPr>
        <w:t>NCSG capability (i.e</w:t>
      </w:r>
      <w:r w:rsidR="00397BC2">
        <w:rPr>
          <w:lang w:val="en-GB"/>
        </w:rPr>
        <w:t>.</w:t>
      </w:r>
      <w:r w:rsidR="00124385">
        <w:rPr>
          <w:lang w:val="en-GB"/>
        </w:rPr>
        <w:t xml:space="preserve"> support of per-FR gap </w:t>
      </w:r>
      <w:r w:rsidR="00397BC2">
        <w:rPr>
          <w:lang w:val="en-GB"/>
        </w:rPr>
        <w:t xml:space="preserve">/ </w:t>
      </w:r>
      <w:r w:rsidR="00124385">
        <w:rPr>
          <w:lang w:val="en-GB"/>
        </w:rPr>
        <w:t>per-UE gap</w:t>
      </w:r>
      <w:r w:rsidR="00397BC2">
        <w:rPr>
          <w:lang w:val="en-GB"/>
        </w:rPr>
        <w:t xml:space="preserve"> per supported band combination</w:t>
      </w:r>
      <w:r w:rsidR="00124385">
        <w:rPr>
          <w:lang w:val="en-GB"/>
        </w:rPr>
        <w:t xml:space="preserve">) should be introduced in Rel-17 [2]: </w:t>
      </w:r>
    </w:p>
    <w:tbl>
      <w:tblPr>
        <w:tblStyle w:val="TableGrid"/>
        <w:tblW w:w="0" w:type="auto"/>
        <w:tblLook w:val="04A0" w:firstRow="1" w:lastRow="0" w:firstColumn="1" w:lastColumn="0" w:noHBand="0" w:noVBand="1"/>
      </w:tblPr>
      <w:tblGrid>
        <w:gridCol w:w="9617"/>
      </w:tblGrid>
      <w:tr w:rsidR="00124385" w14:paraId="72DCF80E" w14:textId="77777777" w:rsidTr="00124385">
        <w:tc>
          <w:tcPr>
            <w:tcW w:w="9617" w:type="dxa"/>
          </w:tcPr>
          <w:p w14:paraId="2EA93B14" w14:textId="77777777" w:rsidR="00247EEE" w:rsidRDefault="00247EEE" w:rsidP="00247EEE">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3-3: Whether additional UE capability is needed for per-UE and per-FR differentiation for NCSG on top of that defined for legacy gap</w:t>
            </w:r>
          </w:p>
          <w:p w14:paraId="601B60A3" w14:textId="77777777" w:rsidR="00247EEE" w:rsidRDefault="00247EEE" w:rsidP="00247EEE">
            <w:pPr>
              <w:numPr>
                <w:ilvl w:val="1"/>
                <w:numId w:val="23"/>
              </w:numPr>
              <w:overflowPunct w:val="0"/>
              <w:autoSpaceDE w:val="0"/>
              <w:autoSpaceDN w:val="0"/>
              <w:adjustRightInd w:val="0"/>
              <w:spacing w:after="120"/>
              <w:jc w:val="both"/>
              <w:rPr>
                <w:rFonts w:asciiTheme="minorHAnsi" w:eastAsia="SimSun" w:hAnsiTheme="minorHAnsi" w:cstheme="minorHAnsi"/>
                <w:bCs/>
                <w:iCs/>
                <w:lang w:val="en-GB" w:eastAsia="zh-CN"/>
              </w:rPr>
            </w:pPr>
            <w:r>
              <w:rPr>
                <w:rFonts w:asciiTheme="minorHAnsi" w:eastAsia="SimSun" w:hAnsiTheme="minorHAnsi" w:cstheme="minorHAnsi"/>
                <w:bCs/>
                <w:iCs/>
                <w:lang w:eastAsia="zh-CN"/>
              </w:rPr>
              <w:t xml:space="preserve">Option 1: No </w:t>
            </w:r>
          </w:p>
          <w:p w14:paraId="649CEA7F" w14:textId="35B4EEA1" w:rsidR="00124385" w:rsidRPr="00247EEE" w:rsidRDefault="00247EEE" w:rsidP="00247EEE">
            <w:pPr>
              <w:numPr>
                <w:ilvl w:val="1"/>
                <w:numId w:val="23"/>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Option 2: Define a per BC indication for per FR NCSG. </w:t>
            </w:r>
          </w:p>
        </w:tc>
      </w:tr>
    </w:tbl>
    <w:p w14:paraId="1703ADAE" w14:textId="4D45C270" w:rsidR="00124385" w:rsidRDefault="00124385" w:rsidP="00247EEE">
      <w:pPr>
        <w:spacing w:before="180"/>
        <w:rPr>
          <w:lang w:val="en-GB"/>
        </w:rPr>
      </w:pPr>
      <w:r>
        <w:rPr>
          <w:lang w:val="en-GB"/>
        </w:rPr>
        <w:t>In our view, this will drast</w:t>
      </w:r>
      <w:r w:rsidR="00397BC2">
        <w:rPr>
          <w:lang w:val="en-GB"/>
        </w:rPr>
        <w:t>ically</w:t>
      </w:r>
      <w:r>
        <w:rPr>
          <w:lang w:val="en-GB"/>
        </w:rPr>
        <w:t xml:space="preserve"> increase the signalling load </w:t>
      </w:r>
      <w:r w:rsidR="00397BC2">
        <w:rPr>
          <w:lang w:val="en-GB"/>
        </w:rPr>
        <w:t xml:space="preserve">and thus requires to be studied in terms of feasibility. The overall gain should then be discussed. Furthermore, we are moving towards completion of Rel-17 and other open NCSG issues need to be resolved, hence this aspect should not be considered in Rel-17. </w:t>
      </w:r>
    </w:p>
    <w:p w14:paraId="60EC5A26" w14:textId="77777777" w:rsidR="00397BC2" w:rsidRPr="00612A50" w:rsidRDefault="00397BC2" w:rsidP="00397BC2">
      <w:pPr>
        <w:rPr>
          <w:color w:val="000000" w:themeColor="text1"/>
          <w:lang w:val="en-GB"/>
        </w:rPr>
      </w:pPr>
      <w:r w:rsidRPr="00612A50">
        <w:rPr>
          <w:color w:val="000000" w:themeColor="text1"/>
          <w:lang w:val="en-GB"/>
        </w:rPr>
        <w:t>The following proposal is made.</w:t>
      </w:r>
    </w:p>
    <w:p w14:paraId="664B5BD6" w14:textId="1F81E41D" w:rsidR="00397BC2" w:rsidRDefault="00397BC2" w:rsidP="00397BC2">
      <w:pPr>
        <w:pStyle w:val="RAN4proposal"/>
        <w:spacing w:after="120"/>
        <w:ind w:left="1134" w:hanging="1134"/>
        <w:rPr>
          <w:color w:val="000000" w:themeColor="text1"/>
          <w:lang w:val="en-GB"/>
        </w:rPr>
      </w:pPr>
      <w:r w:rsidRPr="00612A50">
        <w:rPr>
          <w:color w:val="000000" w:themeColor="text1"/>
          <w:lang w:val="en-GB"/>
        </w:rPr>
        <w:tab/>
      </w:r>
      <w:r>
        <w:rPr>
          <w:color w:val="000000" w:themeColor="text1"/>
          <w:lang w:val="en-GB"/>
        </w:rPr>
        <w:t xml:space="preserve">RAN4 not to consider any additional NCSG capability other than per-UE gap and per-FR gap in Rel-17. </w:t>
      </w:r>
    </w:p>
    <w:p w14:paraId="1B3E09BD" w14:textId="15AF6D81" w:rsidR="00F62D9B" w:rsidRDefault="00F62D9B" w:rsidP="00F957C3">
      <w:pPr>
        <w:pStyle w:val="RAN4H2"/>
        <w:rPr>
          <w:lang w:val="en-GB"/>
        </w:rPr>
      </w:pPr>
      <w:r w:rsidRPr="00F62D9B">
        <w:rPr>
          <w:lang w:val="en-GB"/>
        </w:rPr>
        <w:lastRenderedPageBreak/>
        <w:t>NW configuration and corresponding UE behaviour</w:t>
      </w:r>
    </w:p>
    <w:p w14:paraId="0608B86C" w14:textId="74A93650" w:rsidR="00F62D9B" w:rsidRDefault="00F62D9B" w:rsidP="00F62D9B">
      <w:pPr>
        <w:rPr>
          <w:lang w:val="en-GB"/>
        </w:rPr>
      </w:pPr>
      <w:r>
        <w:rPr>
          <w:lang w:val="en-GB"/>
        </w:rPr>
        <w:t>RAN4 #101-e continued the discussion on NW configuration and corresponding UE behaviour.</w:t>
      </w:r>
      <w:r w:rsidR="003776DA">
        <w:rPr>
          <w:lang w:val="en-GB"/>
        </w:rPr>
        <w:t xml:space="preserve"> Two options were considered. In our view option 2 is more accurate.</w:t>
      </w:r>
    </w:p>
    <w:p w14:paraId="1A95937A" w14:textId="5EF3731D" w:rsidR="003776DA" w:rsidRDefault="003776DA" w:rsidP="00F62D9B">
      <w:pPr>
        <w:rPr>
          <w:lang w:val="en-GB"/>
        </w:rPr>
      </w:pPr>
      <w:r>
        <w:rPr>
          <w:lang w:val="en-GB"/>
        </w:rPr>
        <w:t>Option2:</w:t>
      </w:r>
    </w:p>
    <w:tbl>
      <w:tblPr>
        <w:tblStyle w:val="TableGrid"/>
        <w:tblW w:w="0" w:type="auto"/>
        <w:tblLook w:val="04A0" w:firstRow="1" w:lastRow="0" w:firstColumn="1" w:lastColumn="0" w:noHBand="0" w:noVBand="1"/>
      </w:tblPr>
      <w:tblGrid>
        <w:gridCol w:w="2311"/>
        <w:gridCol w:w="2215"/>
        <w:gridCol w:w="2553"/>
        <w:gridCol w:w="2538"/>
      </w:tblGrid>
      <w:tr w:rsidR="003776DA" w14:paraId="47B0665A" w14:textId="77777777" w:rsidTr="0040042A">
        <w:tc>
          <w:tcPr>
            <w:tcW w:w="0" w:type="auto"/>
            <w:tcBorders>
              <w:tl2br w:val="single" w:sz="4" w:space="0" w:color="auto"/>
            </w:tcBorders>
          </w:tcPr>
          <w:p w14:paraId="4F7D64CC" w14:textId="77777777" w:rsidR="003776DA" w:rsidRDefault="003776DA" w:rsidP="0040042A">
            <w:pPr>
              <w:ind w:left="1100" w:hangingChars="550" w:hanging="1100"/>
              <w:rPr>
                <w:rFonts w:eastAsiaTheme="minorEastAsia"/>
                <w:lang w:eastAsia="zh-CN"/>
              </w:rPr>
            </w:pPr>
            <w:r>
              <w:rPr>
                <w:rFonts w:eastAsiaTheme="minorEastAsia"/>
                <w:lang w:eastAsia="zh-CN"/>
              </w:rPr>
              <w:t xml:space="preserve">                NW config</w:t>
            </w:r>
          </w:p>
          <w:p w14:paraId="1890C592" w14:textId="77777777" w:rsidR="003776DA" w:rsidRDefault="003776DA" w:rsidP="0040042A">
            <w:pPr>
              <w:rPr>
                <w:rFonts w:eastAsiaTheme="minorEastAsia"/>
                <w:lang w:eastAsia="zh-CN"/>
              </w:rPr>
            </w:pPr>
          </w:p>
          <w:p w14:paraId="04F83541" w14:textId="77777777" w:rsidR="003776DA" w:rsidRDefault="003776DA" w:rsidP="0040042A">
            <w:pPr>
              <w:rPr>
                <w:rFonts w:eastAsiaTheme="minorEastAsia"/>
                <w:lang w:eastAsia="zh-CN"/>
              </w:rPr>
            </w:pPr>
            <w:r>
              <w:rPr>
                <w:rFonts w:eastAsiaTheme="minorEastAsia"/>
                <w:lang w:eastAsia="zh-CN"/>
              </w:rPr>
              <w:t>UE capability</w:t>
            </w:r>
          </w:p>
        </w:tc>
        <w:tc>
          <w:tcPr>
            <w:tcW w:w="2215" w:type="dxa"/>
          </w:tcPr>
          <w:p w14:paraId="411FAF77" w14:textId="77777777" w:rsidR="003776DA" w:rsidRDefault="003776DA" w:rsidP="0040042A">
            <w:pPr>
              <w:rPr>
                <w:rFonts w:eastAsiaTheme="minorEastAsia"/>
                <w:lang w:eastAsia="zh-CN"/>
              </w:rPr>
            </w:pPr>
            <w:r>
              <w:rPr>
                <w:rFonts w:eastAsiaTheme="minorEastAsia"/>
                <w:lang w:eastAsia="zh-CN"/>
              </w:rPr>
              <w:t xml:space="preserve">Case a: </w:t>
            </w:r>
          </w:p>
          <w:p w14:paraId="779B528D" w14:textId="77777777" w:rsidR="003776DA" w:rsidRDefault="003776DA" w:rsidP="0040042A">
            <w:pPr>
              <w:rPr>
                <w:rFonts w:eastAsiaTheme="minorEastAsia"/>
                <w:lang w:eastAsia="zh-CN"/>
              </w:rPr>
            </w:pPr>
            <w:r>
              <w:rPr>
                <w:rFonts w:eastAsiaTheme="minorEastAsia"/>
                <w:lang w:eastAsia="zh-CN"/>
              </w:rPr>
              <w:t>No MG nor NCSG</w:t>
            </w:r>
          </w:p>
        </w:tc>
        <w:tc>
          <w:tcPr>
            <w:tcW w:w="2553" w:type="dxa"/>
          </w:tcPr>
          <w:p w14:paraId="1CBAE1C3" w14:textId="77777777" w:rsidR="003776DA" w:rsidRDefault="003776DA" w:rsidP="0040042A">
            <w:pPr>
              <w:rPr>
                <w:rFonts w:eastAsiaTheme="minorEastAsia"/>
                <w:lang w:eastAsia="zh-CN"/>
              </w:rPr>
            </w:pPr>
            <w:r>
              <w:rPr>
                <w:rFonts w:eastAsiaTheme="minorEastAsia"/>
                <w:lang w:eastAsia="zh-CN"/>
              </w:rPr>
              <w:t>Case b:</w:t>
            </w:r>
          </w:p>
          <w:p w14:paraId="4873B71A" w14:textId="77777777" w:rsidR="003776DA" w:rsidRDefault="003776DA" w:rsidP="0040042A">
            <w:pPr>
              <w:rPr>
                <w:rFonts w:eastAsiaTheme="minorEastAsia"/>
                <w:lang w:eastAsia="zh-CN"/>
              </w:rPr>
            </w:pPr>
            <w:r>
              <w:rPr>
                <w:rFonts w:eastAsiaTheme="minorEastAsia"/>
                <w:lang w:eastAsia="zh-CN"/>
              </w:rPr>
              <w:t>NCSG</w:t>
            </w:r>
          </w:p>
        </w:tc>
        <w:tc>
          <w:tcPr>
            <w:tcW w:w="2538" w:type="dxa"/>
          </w:tcPr>
          <w:p w14:paraId="1A44424E" w14:textId="77777777" w:rsidR="003776DA" w:rsidRDefault="003776DA" w:rsidP="0040042A">
            <w:pPr>
              <w:rPr>
                <w:rFonts w:eastAsiaTheme="minorEastAsia"/>
                <w:lang w:eastAsia="zh-CN"/>
              </w:rPr>
            </w:pPr>
            <w:r>
              <w:rPr>
                <w:rFonts w:eastAsiaTheme="minorEastAsia"/>
                <w:lang w:eastAsia="zh-CN"/>
              </w:rPr>
              <w:t>Case c: MG</w:t>
            </w:r>
          </w:p>
        </w:tc>
      </w:tr>
      <w:tr w:rsidR="003776DA" w14:paraId="117719A5" w14:textId="77777777" w:rsidTr="0040042A">
        <w:tc>
          <w:tcPr>
            <w:tcW w:w="0" w:type="auto"/>
          </w:tcPr>
          <w:p w14:paraId="5553777D" w14:textId="77777777" w:rsidR="003776DA" w:rsidRDefault="003776DA" w:rsidP="0040042A">
            <w:pPr>
              <w:rPr>
                <w:rFonts w:eastAsiaTheme="minorEastAsia"/>
                <w:lang w:eastAsia="zh-CN"/>
              </w:rPr>
            </w:pPr>
            <w:r>
              <w:rPr>
                <w:rFonts w:eastAsiaTheme="minorEastAsia"/>
                <w:lang w:eastAsia="zh-CN"/>
              </w:rPr>
              <w:t>Case 1: gap</w:t>
            </w:r>
          </w:p>
        </w:tc>
        <w:tc>
          <w:tcPr>
            <w:tcW w:w="2215" w:type="dxa"/>
          </w:tcPr>
          <w:p w14:paraId="7E1BECB8" w14:textId="77777777" w:rsidR="003776DA" w:rsidRDefault="003776DA" w:rsidP="0040042A">
            <w:pPr>
              <w:rPr>
                <w:rFonts w:eastAsiaTheme="minorEastAsia"/>
                <w:lang w:eastAsia="zh-CN"/>
              </w:rPr>
            </w:pPr>
            <w:r>
              <w:rPr>
                <w:rFonts w:eastAsiaTheme="minorEastAsia"/>
                <w:lang w:eastAsia="zh-CN"/>
              </w:rPr>
              <w:t>No requirement</w:t>
            </w:r>
          </w:p>
        </w:tc>
        <w:tc>
          <w:tcPr>
            <w:tcW w:w="2553" w:type="dxa"/>
          </w:tcPr>
          <w:p w14:paraId="105547C8" w14:textId="77777777" w:rsidR="003776DA" w:rsidRDefault="003776DA" w:rsidP="0040042A">
            <w:pPr>
              <w:rPr>
                <w:rFonts w:eastAsiaTheme="minorEastAsia"/>
                <w:lang w:eastAsia="zh-CN"/>
              </w:rPr>
            </w:pPr>
            <w:r>
              <w:rPr>
                <w:rFonts w:eastAsiaTheme="minorEastAsia"/>
                <w:lang w:eastAsia="zh-CN"/>
              </w:rPr>
              <w:t>No requirement</w:t>
            </w:r>
          </w:p>
        </w:tc>
        <w:tc>
          <w:tcPr>
            <w:tcW w:w="2538" w:type="dxa"/>
          </w:tcPr>
          <w:p w14:paraId="32AF7DBA" w14:textId="77777777" w:rsidR="003776DA" w:rsidRDefault="003776DA" w:rsidP="0040042A">
            <w:pPr>
              <w:rPr>
                <w:rFonts w:eastAsiaTheme="minorEastAsia"/>
                <w:lang w:eastAsia="zh-CN"/>
              </w:rPr>
            </w:pPr>
            <w:r>
              <w:rPr>
                <w:rFonts w:eastAsiaTheme="minorEastAsia"/>
                <w:lang w:eastAsia="zh-CN"/>
              </w:rPr>
              <w:t>Measurement within MG</w:t>
            </w:r>
          </w:p>
        </w:tc>
      </w:tr>
      <w:tr w:rsidR="003776DA" w14:paraId="7B8D5828" w14:textId="77777777" w:rsidTr="0040042A">
        <w:tc>
          <w:tcPr>
            <w:tcW w:w="0" w:type="auto"/>
          </w:tcPr>
          <w:p w14:paraId="211F96F3" w14:textId="77777777" w:rsidR="003776DA" w:rsidRDefault="003776DA" w:rsidP="0040042A">
            <w:pPr>
              <w:rPr>
                <w:rFonts w:eastAsiaTheme="minorEastAsia"/>
                <w:lang w:eastAsia="zh-CN"/>
              </w:rPr>
            </w:pPr>
            <w:r>
              <w:rPr>
                <w:rFonts w:eastAsiaTheme="minorEastAsia"/>
                <w:lang w:eastAsia="zh-CN"/>
              </w:rPr>
              <w:t>Case 2: no-gap-with-interruption</w:t>
            </w:r>
          </w:p>
        </w:tc>
        <w:tc>
          <w:tcPr>
            <w:tcW w:w="2215" w:type="dxa"/>
            <w:shd w:val="clear" w:color="auto" w:fill="auto"/>
          </w:tcPr>
          <w:p w14:paraId="53EEB11B" w14:textId="77777777" w:rsidR="003776DA" w:rsidRDefault="003776DA" w:rsidP="0040042A">
            <w:pPr>
              <w:rPr>
                <w:rFonts w:eastAsiaTheme="minorEastAsia"/>
                <w:lang w:eastAsia="zh-CN"/>
              </w:rPr>
            </w:pPr>
            <w:r>
              <w:rPr>
                <w:rFonts w:eastAsiaTheme="minorEastAsia"/>
                <w:lang w:eastAsia="zh-CN"/>
              </w:rPr>
              <w:t>No requirement</w:t>
            </w:r>
          </w:p>
        </w:tc>
        <w:tc>
          <w:tcPr>
            <w:tcW w:w="2553" w:type="dxa"/>
          </w:tcPr>
          <w:p w14:paraId="070D47EE" w14:textId="77777777" w:rsidR="003776DA" w:rsidRDefault="003776DA" w:rsidP="0040042A">
            <w:pPr>
              <w:rPr>
                <w:rFonts w:eastAsiaTheme="minorEastAsia"/>
                <w:lang w:eastAsia="zh-CN"/>
              </w:rPr>
            </w:pPr>
            <w:r>
              <w:rPr>
                <w:rFonts w:eastAsiaTheme="minorEastAsia"/>
                <w:lang w:eastAsia="zh-CN"/>
              </w:rPr>
              <w:t>Measurement within NCSG with only NCSG interruption allowed</w:t>
            </w:r>
          </w:p>
        </w:tc>
        <w:tc>
          <w:tcPr>
            <w:tcW w:w="2538" w:type="dxa"/>
          </w:tcPr>
          <w:p w14:paraId="238D3740" w14:textId="77777777" w:rsidR="003776DA" w:rsidRDefault="003776DA" w:rsidP="0040042A">
            <w:pPr>
              <w:rPr>
                <w:rFonts w:eastAsiaTheme="minorEastAsia"/>
                <w:lang w:eastAsia="zh-CN"/>
              </w:rPr>
            </w:pPr>
            <w:r>
              <w:rPr>
                <w:rFonts w:eastAsiaTheme="minorEastAsia"/>
                <w:lang w:eastAsia="zh-CN"/>
              </w:rPr>
              <w:t>Measurement within MG with only legacy gap interruption allowed</w:t>
            </w:r>
          </w:p>
        </w:tc>
      </w:tr>
      <w:tr w:rsidR="003776DA" w14:paraId="1D50CF3A" w14:textId="77777777" w:rsidTr="0040042A">
        <w:tc>
          <w:tcPr>
            <w:tcW w:w="0" w:type="auto"/>
          </w:tcPr>
          <w:p w14:paraId="787BE26D" w14:textId="77777777" w:rsidR="003776DA" w:rsidRDefault="003776DA" w:rsidP="0040042A">
            <w:pPr>
              <w:rPr>
                <w:rFonts w:eastAsiaTheme="minorEastAsia"/>
                <w:lang w:eastAsia="zh-CN"/>
              </w:rPr>
            </w:pPr>
            <w:r>
              <w:rPr>
                <w:rFonts w:eastAsiaTheme="minorEastAsia"/>
                <w:lang w:eastAsia="zh-CN"/>
              </w:rPr>
              <w:t>Case 3: no-gap-no-interruption</w:t>
            </w:r>
          </w:p>
        </w:tc>
        <w:tc>
          <w:tcPr>
            <w:tcW w:w="2215" w:type="dxa"/>
          </w:tcPr>
          <w:p w14:paraId="43AA5F04" w14:textId="77777777" w:rsidR="003776DA" w:rsidRDefault="003776DA" w:rsidP="0040042A">
            <w:pPr>
              <w:rPr>
                <w:rFonts w:eastAsiaTheme="minorEastAsia"/>
                <w:lang w:eastAsia="zh-CN"/>
              </w:rPr>
            </w:pPr>
            <w:r>
              <w:rPr>
                <w:rFonts w:eastAsiaTheme="minorEastAsia"/>
                <w:lang w:eastAsia="zh-CN"/>
              </w:rPr>
              <w:t>Measurement without MG</w:t>
            </w:r>
          </w:p>
        </w:tc>
        <w:tc>
          <w:tcPr>
            <w:tcW w:w="2553" w:type="dxa"/>
          </w:tcPr>
          <w:p w14:paraId="7A0BFA2F" w14:textId="77777777" w:rsidR="003776DA" w:rsidRDefault="003776DA" w:rsidP="0040042A">
            <w:pPr>
              <w:rPr>
                <w:rFonts w:eastAsiaTheme="minorEastAsia"/>
                <w:lang w:eastAsia="zh-CN"/>
              </w:rPr>
            </w:pPr>
            <w:r>
              <w:rPr>
                <w:rFonts w:eastAsiaTheme="minorEastAsia"/>
                <w:lang w:eastAsia="zh-CN"/>
              </w:rPr>
              <w:t>Measurement outside NCSG</w:t>
            </w:r>
          </w:p>
        </w:tc>
        <w:tc>
          <w:tcPr>
            <w:tcW w:w="2538" w:type="dxa"/>
          </w:tcPr>
          <w:p w14:paraId="3889E632" w14:textId="77777777" w:rsidR="003776DA" w:rsidRDefault="003776DA" w:rsidP="0040042A">
            <w:pPr>
              <w:rPr>
                <w:rFonts w:eastAsiaTheme="minorEastAsia"/>
                <w:lang w:eastAsia="zh-CN"/>
              </w:rPr>
            </w:pPr>
            <w:r>
              <w:rPr>
                <w:rFonts w:eastAsiaTheme="minorEastAsia"/>
                <w:lang w:eastAsia="zh-CN"/>
              </w:rPr>
              <w:t>Measurement outside MG</w:t>
            </w:r>
          </w:p>
        </w:tc>
      </w:tr>
    </w:tbl>
    <w:p w14:paraId="7CF95576" w14:textId="77777777" w:rsidR="003776DA" w:rsidRPr="00612A50" w:rsidRDefault="003776DA" w:rsidP="003776DA">
      <w:pPr>
        <w:spacing w:before="180"/>
        <w:rPr>
          <w:color w:val="000000" w:themeColor="text1"/>
          <w:lang w:val="en-GB"/>
        </w:rPr>
      </w:pPr>
      <w:r w:rsidRPr="00612A50">
        <w:rPr>
          <w:color w:val="000000" w:themeColor="text1"/>
          <w:lang w:val="en-GB"/>
        </w:rPr>
        <w:t>The following proposal is made.</w:t>
      </w:r>
    </w:p>
    <w:p w14:paraId="2E24A93D" w14:textId="08A66C86" w:rsidR="003776DA" w:rsidRPr="003776DA" w:rsidRDefault="003776DA" w:rsidP="00F62D9B">
      <w:pPr>
        <w:pStyle w:val="RAN4proposal"/>
        <w:spacing w:after="120"/>
        <w:ind w:left="1134" w:hanging="1134"/>
        <w:rPr>
          <w:color w:val="000000" w:themeColor="text1"/>
          <w:lang w:val="en-GB"/>
        </w:rPr>
      </w:pPr>
      <w:r w:rsidRPr="00612A50">
        <w:rPr>
          <w:color w:val="000000" w:themeColor="text1"/>
          <w:lang w:val="en-GB"/>
        </w:rPr>
        <w:tab/>
      </w:r>
      <w:r>
        <w:rPr>
          <w:color w:val="000000" w:themeColor="text1"/>
          <w:lang w:val="en-GB"/>
        </w:rPr>
        <w:t xml:space="preserve">Option 2 in WF [2] is supported. RRM requirements for NCSG should follow this table. </w:t>
      </w:r>
    </w:p>
    <w:p w14:paraId="50E359AA" w14:textId="77FC0AFA" w:rsidR="00AE7297" w:rsidRDefault="00AE7297" w:rsidP="00F957C3">
      <w:pPr>
        <w:pStyle w:val="RAN4H2"/>
        <w:rPr>
          <w:lang w:val="en-GB"/>
        </w:rPr>
      </w:pPr>
      <w:r>
        <w:rPr>
          <w:lang w:val="en-GB"/>
        </w:rPr>
        <w:t>Scheduling Restrictions</w:t>
      </w:r>
    </w:p>
    <w:p w14:paraId="7F17F11C" w14:textId="68E74559" w:rsidR="00AE7297" w:rsidRDefault="00820E98" w:rsidP="00AE7297">
      <w:pPr>
        <w:rPr>
          <w:color w:val="000000" w:themeColor="text1"/>
          <w:lang w:val="en-GB" w:eastAsia="zh-CN"/>
        </w:rPr>
      </w:pPr>
      <w:r>
        <w:rPr>
          <w:color w:val="000000" w:themeColor="text1"/>
          <w:lang w:val="en-GB" w:eastAsia="zh-CN"/>
        </w:rPr>
        <w:t>RAN4 #101-e continued the discussion on scheduling restrictions but did not achieve agreement for FR1 and FR2</w:t>
      </w:r>
      <w:r w:rsidR="003776DA">
        <w:rPr>
          <w:color w:val="000000" w:themeColor="text1"/>
          <w:lang w:val="en-GB" w:eastAsia="zh-CN"/>
        </w:rPr>
        <w:t xml:space="preserve"> [4]</w:t>
      </w:r>
      <w:r>
        <w:rPr>
          <w:color w:val="000000" w:themeColor="text1"/>
          <w:lang w:val="en-GB" w:eastAsia="zh-CN"/>
        </w:rPr>
        <w:t>. Two options are listed in [2] that refer to scheduling restrictions during ML.</w:t>
      </w:r>
      <w:r w:rsidR="006A28D0">
        <w:rPr>
          <w:color w:val="000000" w:themeColor="text1"/>
          <w:lang w:val="en-GB" w:eastAsia="zh-CN"/>
        </w:rPr>
        <w:t xml:space="preserve"> </w:t>
      </w:r>
    </w:p>
    <w:tbl>
      <w:tblPr>
        <w:tblStyle w:val="TableGrid"/>
        <w:tblW w:w="0" w:type="auto"/>
        <w:tblLook w:val="04A0" w:firstRow="1" w:lastRow="0" w:firstColumn="1" w:lastColumn="0" w:noHBand="0" w:noVBand="1"/>
      </w:tblPr>
      <w:tblGrid>
        <w:gridCol w:w="9617"/>
      </w:tblGrid>
      <w:tr w:rsidR="00820E98" w14:paraId="2A46B291" w14:textId="77777777" w:rsidTr="00820E98">
        <w:tc>
          <w:tcPr>
            <w:tcW w:w="9617" w:type="dxa"/>
          </w:tcPr>
          <w:p w14:paraId="5E3817EB" w14:textId="77777777" w:rsidR="00820E98" w:rsidRDefault="00820E98" w:rsidP="00820E98">
            <w:pPr>
              <w:numPr>
                <w:ilvl w:val="1"/>
                <w:numId w:val="34"/>
              </w:numPr>
              <w:overflowPunct w:val="0"/>
              <w:autoSpaceDE w:val="0"/>
              <w:autoSpaceDN w:val="0"/>
              <w:adjustRightInd w:val="0"/>
              <w:spacing w:before="120" w:after="120"/>
              <w:ind w:left="1077" w:hanging="357"/>
              <w:jc w:val="both"/>
              <w:rPr>
                <w:rFonts w:asciiTheme="minorHAnsi" w:eastAsia="SimSun" w:hAnsiTheme="minorHAnsi" w:cstheme="minorHAnsi"/>
                <w:bCs/>
                <w:iCs/>
                <w:lang w:eastAsia="zh-CN"/>
              </w:rPr>
            </w:pPr>
            <w:r>
              <w:rPr>
                <w:rFonts w:asciiTheme="minorHAnsi" w:eastAsia="SimSun" w:hAnsiTheme="minorHAnsi" w:cstheme="minorHAnsi"/>
                <w:bCs/>
                <w:iCs/>
                <w:lang w:eastAsia="zh-CN"/>
              </w:rPr>
              <w:t>Scheduling</w:t>
            </w:r>
            <w:r>
              <w:rPr>
                <w:rFonts w:asciiTheme="minorHAnsi" w:eastAsia="SimSun" w:hAnsiTheme="minorHAnsi" w:cstheme="minorHAnsi"/>
                <w:iCs/>
                <w:lang w:eastAsia="zh-CN"/>
              </w:rPr>
              <w:t xml:space="preserve"> restriction in FR1:</w:t>
            </w:r>
          </w:p>
          <w:p w14:paraId="28FA8071" w14:textId="77777777" w:rsidR="00820E98" w:rsidRDefault="00820E98" w:rsidP="00820E98">
            <w:pPr>
              <w:numPr>
                <w:ilvl w:val="1"/>
                <w:numId w:val="35"/>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Option 1: </w:t>
            </w:r>
          </w:p>
          <w:p w14:paraId="2D1E425F" w14:textId="77777777" w:rsidR="00820E98" w:rsidRDefault="00820E98" w:rsidP="00820E98">
            <w:pPr>
              <w:numPr>
                <w:ilvl w:val="2"/>
                <w:numId w:val="35"/>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For intra-frequency measurement, existing scheduling restriction requirements apply. </w:t>
            </w:r>
          </w:p>
          <w:p w14:paraId="7CE50FBF" w14:textId="77777777" w:rsidR="00820E98" w:rsidRDefault="00820E98" w:rsidP="00820E98">
            <w:pPr>
              <w:numPr>
                <w:ilvl w:val="2"/>
                <w:numId w:val="35"/>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For inter-frequency measurement and the target carrier and the serving cell are in same band, existing scheduling restriction requirements apply except that all symbols in SMTC windows are restricted. </w:t>
            </w:r>
          </w:p>
          <w:p w14:paraId="7A9A1F66" w14:textId="77777777" w:rsidR="00820E98" w:rsidRDefault="00820E98" w:rsidP="00820E98">
            <w:pPr>
              <w:numPr>
                <w:ilvl w:val="2"/>
                <w:numId w:val="35"/>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05B38691" w14:textId="77777777" w:rsidR="00820E98" w:rsidRDefault="00820E98" w:rsidP="00820E98">
            <w:pPr>
              <w:numPr>
                <w:ilvl w:val="2"/>
                <w:numId w:val="35"/>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NW should be informed whether UE needs scheduling restriction or not for a combination of an inter-frequency target carrier and a serving cell.</w:t>
            </w:r>
          </w:p>
          <w:p w14:paraId="533E1B8D" w14:textId="77777777" w:rsidR="00820E98" w:rsidRDefault="00820E98" w:rsidP="00820E98">
            <w:pPr>
              <w:numPr>
                <w:ilvl w:val="1"/>
                <w:numId w:val="35"/>
              </w:numPr>
              <w:overflowPunct w:val="0"/>
              <w:autoSpaceDE w:val="0"/>
              <w:autoSpaceDN w:val="0"/>
              <w:adjustRightInd w:val="0"/>
              <w:spacing w:after="120"/>
              <w:jc w:val="both"/>
              <w:rPr>
                <w:rFonts w:asciiTheme="minorHAnsi" w:eastAsia="SimSun" w:hAnsiTheme="minorHAnsi" w:cstheme="minorHAnsi"/>
                <w:bCs/>
                <w:iCs/>
                <w:lang w:val="en-GB" w:eastAsia="zh-CN"/>
              </w:rPr>
            </w:pPr>
            <w:r>
              <w:rPr>
                <w:rFonts w:asciiTheme="minorHAnsi" w:eastAsia="SimSun" w:hAnsiTheme="minorHAnsi" w:cstheme="minorHAnsi"/>
                <w:bCs/>
                <w:iCs/>
                <w:lang w:eastAsia="zh-CN"/>
              </w:rPr>
              <w:t xml:space="preserve">Option 2: </w:t>
            </w:r>
          </w:p>
          <w:p w14:paraId="10B3D6E1" w14:textId="77777777" w:rsidR="00820E98" w:rsidRDefault="00820E98" w:rsidP="00820E98">
            <w:pPr>
              <w:numPr>
                <w:ilvl w:val="2"/>
                <w:numId w:val="35"/>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For intra-frequency measurement, existing scheduling restriction requirements apply. </w:t>
            </w:r>
          </w:p>
          <w:p w14:paraId="5E47235E" w14:textId="77777777" w:rsidR="00820E98" w:rsidRDefault="00820E98" w:rsidP="00820E98">
            <w:pPr>
              <w:numPr>
                <w:ilvl w:val="2"/>
                <w:numId w:val="35"/>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For inter-frequency measurement and the target carrier and the serving cell are in same band, existing scheduling restriction requirements apply </w:t>
            </w:r>
          </w:p>
          <w:p w14:paraId="6A24BEBD" w14:textId="77777777" w:rsidR="00820E98" w:rsidRDefault="00820E98" w:rsidP="00820E98">
            <w:pPr>
              <w:numPr>
                <w:ilvl w:val="2"/>
                <w:numId w:val="35"/>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For inter-frequency measurement and the target carrier and the serving cell are in different bands, </w:t>
            </w:r>
            <w:r>
              <w:rPr>
                <w:rFonts w:asciiTheme="minorHAnsi" w:eastAsia="SimSun" w:hAnsiTheme="minorHAnsi" w:cstheme="minorHAnsi"/>
                <w:bCs/>
                <w:iCs/>
                <w:u w:val="single"/>
                <w:lang w:eastAsia="zh-CN"/>
              </w:rPr>
              <w:t>SSB symbols to be measured</w:t>
            </w:r>
            <w:r>
              <w:rPr>
                <w:rFonts w:asciiTheme="minorHAnsi" w:eastAsia="SimSun" w:hAnsiTheme="minorHAnsi" w:cstheme="minorHAnsi"/>
                <w:bCs/>
                <w:iCs/>
                <w:lang w:eastAsia="zh-CN"/>
              </w:rPr>
              <w:t xml:space="preserve"> are restricted when scheduling restrictions apply, and whether scheduling restrictions apply depends on UE capability.</w:t>
            </w:r>
          </w:p>
          <w:p w14:paraId="1EB64097" w14:textId="77777777" w:rsidR="00820E98" w:rsidRDefault="00820E98" w:rsidP="00820E98">
            <w:pPr>
              <w:numPr>
                <w:ilvl w:val="3"/>
                <w:numId w:val="35"/>
              </w:numPr>
              <w:overflowPunct w:val="0"/>
              <w:autoSpaceDE w:val="0"/>
              <w:autoSpaceDN w:val="0"/>
              <w:adjustRightInd w:val="0"/>
              <w:spacing w:after="120"/>
              <w:jc w:val="both"/>
              <w:rPr>
                <w:rFonts w:asciiTheme="minorHAnsi" w:eastAsia="SimSun" w:hAnsiTheme="minorHAnsi" w:cstheme="minorHAnsi"/>
                <w:bCs/>
                <w:iCs/>
                <w:u w:val="single"/>
                <w:lang w:eastAsia="zh-CN"/>
              </w:rPr>
            </w:pPr>
            <w:r>
              <w:rPr>
                <w:rFonts w:asciiTheme="minorHAnsi" w:eastAsia="SimSun" w:hAnsiTheme="minorHAnsi" w:cstheme="minorHAnsi"/>
                <w:bCs/>
                <w:iCs/>
                <w:u w:val="single"/>
                <w:lang w:eastAsia="zh-CN"/>
              </w:rPr>
              <w:t>SSB symbols to be measured are the SSB symbols indicated by SSB-ToMeasure, if it is configured; otherwise, all L SSB symbols within the SMTC window duration</w:t>
            </w:r>
          </w:p>
          <w:p w14:paraId="0B1E73A2" w14:textId="2035D170" w:rsidR="00820E98" w:rsidRPr="00820E98" w:rsidRDefault="00820E98" w:rsidP="00820E98">
            <w:pPr>
              <w:numPr>
                <w:ilvl w:val="2"/>
                <w:numId w:val="35"/>
              </w:numPr>
              <w:overflowPunct w:val="0"/>
              <w:autoSpaceDE w:val="0"/>
              <w:autoSpaceDN w:val="0"/>
              <w:adjustRightInd w:val="0"/>
              <w:spacing w:after="120"/>
              <w:ind w:hanging="357"/>
              <w:jc w:val="both"/>
              <w:rPr>
                <w:rFonts w:asciiTheme="minorHAnsi" w:eastAsia="SimSun" w:hAnsiTheme="minorHAnsi" w:cstheme="minorHAnsi"/>
                <w:bCs/>
                <w:iCs/>
                <w:lang w:eastAsia="zh-CN"/>
              </w:rPr>
            </w:pPr>
            <w:r>
              <w:rPr>
                <w:rFonts w:asciiTheme="minorHAnsi" w:eastAsia="SimSun" w:hAnsiTheme="minorHAnsi" w:cstheme="minorHAnsi"/>
                <w:bCs/>
                <w:iCs/>
                <w:lang w:eastAsia="zh-CN"/>
              </w:rPr>
              <w:t>NW should be informed whether UE needs scheduling restriction or not for a combination of an inter-frequency target carrier and a serving cell.</w:t>
            </w:r>
          </w:p>
        </w:tc>
      </w:tr>
    </w:tbl>
    <w:p w14:paraId="29600963" w14:textId="10B4C064" w:rsidR="00820E98" w:rsidRPr="006A28D0" w:rsidRDefault="006A28D0" w:rsidP="006A28D0">
      <w:pPr>
        <w:spacing w:before="180"/>
        <w:rPr>
          <w:color w:val="000000" w:themeColor="text1"/>
          <w:lang w:val="en-GB" w:eastAsia="zh-CN"/>
        </w:rPr>
      </w:pPr>
      <w:r>
        <w:rPr>
          <w:color w:val="000000" w:themeColor="text1"/>
          <w:lang w:val="en-GB" w:eastAsia="zh-CN"/>
        </w:rPr>
        <w:t xml:space="preserve">In our view, option 2 is preferred as it describes the impact due to SSB measurements in ML more accurately. The scheduling restriction is informed by UE to the network, e.g. as part of the NeedForGap signalling modified to support </w:t>
      </w:r>
      <w:r>
        <w:rPr>
          <w:color w:val="000000" w:themeColor="text1"/>
          <w:lang w:val="en-GB" w:eastAsia="zh-CN"/>
        </w:rPr>
        <w:lastRenderedPageBreak/>
        <w:t xml:space="preserve">NSCG. For FR2, in case of inter-band measurement with IBM condition, we do not observe scheduling restriction, in case of simultaneous UL and DL support.  </w:t>
      </w:r>
    </w:p>
    <w:p w14:paraId="5489CB5D" w14:textId="77777777" w:rsidR="00AE7297" w:rsidRPr="00AE7297" w:rsidRDefault="00AE7297" w:rsidP="00AE7297">
      <w:pPr>
        <w:rPr>
          <w:color w:val="000000" w:themeColor="text1"/>
          <w:lang w:val="en-GB"/>
        </w:rPr>
      </w:pPr>
      <w:r w:rsidRPr="00AE7297">
        <w:rPr>
          <w:color w:val="000000" w:themeColor="text1"/>
          <w:lang w:val="en-GB"/>
        </w:rPr>
        <w:t>The following proposal is made.</w:t>
      </w:r>
    </w:p>
    <w:p w14:paraId="6B4CDF1B" w14:textId="6D06B7FE" w:rsidR="00AE7297" w:rsidRDefault="007261C1" w:rsidP="00AE7297">
      <w:pPr>
        <w:pStyle w:val="RAN4proposal"/>
        <w:ind w:left="1134" w:hanging="1134"/>
        <w:rPr>
          <w:rFonts w:eastAsiaTheme="minorEastAsia"/>
        </w:rPr>
      </w:pPr>
      <w:r>
        <w:tab/>
      </w:r>
      <w:r w:rsidR="003776DA">
        <w:t xml:space="preserve">Option 2 in WF [2] is supported for scheduling restrictions in FR1.  </w:t>
      </w:r>
      <w:r w:rsidR="003776DA">
        <w:rPr>
          <w:color w:val="000000" w:themeColor="text1"/>
          <w:lang w:val="en-GB" w:eastAsia="zh-CN"/>
        </w:rPr>
        <w:t>For FR2, in case of inter-band SSB measurement with IBM condition, we do not observe scheduling restriction, in case of simultaneous UL and DL support</w:t>
      </w:r>
      <w:r w:rsidR="00AE7297" w:rsidRPr="00AE7297">
        <w:rPr>
          <w:rFonts w:eastAsiaTheme="minorEastAsia"/>
        </w:rPr>
        <w:t>.</w:t>
      </w:r>
    </w:p>
    <w:p w14:paraId="67945E1A" w14:textId="19B8169B" w:rsidR="004449E8" w:rsidRDefault="004449E8" w:rsidP="004449E8">
      <w:pPr>
        <w:pStyle w:val="RAN4H2"/>
        <w:rPr>
          <w:lang w:val="en-GB"/>
        </w:rPr>
      </w:pPr>
      <w:r>
        <w:rPr>
          <w:lang w:val="en-GB"/>
        </w:rPr>
        <w:t>Other requirements</w:t>
      </w:r>
    </w:p>
    <w:p w14:paraId="35CD754A" w14:textId="010AD360" w:rsidR="004449E8" w:rsidRDefault="004449E8" w:rsidP="004449E8">
      <w:r>
        <w:rPr>
          <w:color w:val="000000" w:themeColor="text1"/>
          <w:lang w:val="en-GB" w:eastAsia="zh-CN"/>
        </w:rPr>
        <w:t xml:space="preserve">Regarding other requirements discussed at RAN4 #101-e, no agreement could be achieved.  </w:t>
      </w:r>
    </w:p>
    <w:tbl>
      <w:tblPr>
        <w:tblStyle w:val="TableGrid"/>
        <w:tblW w:w="0" w:type="auto"/>
        <w:tblLook w:val="04A0" w:firstRow="1" w:lastRow="0" w:firstColumn="1" w:lastColumn="0" w:noHBand="0" w:noVBand="1"/>
      </w:tblPr>
      <w:tblGrid>
        <w:gridCol w:w="9617"/>
      </w:tblGrid>
      <w:tr w:rsidR="004449E8" w14:paraId="29AEB4EB" w14:textId="77777777" w:rsidTr="004449E8">
        <w:tc>
          <w:tcPr>
            <w:tcW w:w="9617" w:type="dxa"/>
          </w:tcPr>
          <w:p w14:paraId="2E5F63AE" w14:textId="4F73305F" w:rsidR="004449E8" w:rsidRPr="00936647" w:rsidRDefault="004449E8" w:rsidP="004449E8">
            <w:pPr>
              <w:tabs>
                <w:tab w:val="left" w:pos="555"/>
              </w:tabs>
              <w:spacing w:before="120"/>
              <w:rPr>
                <w:color w:val="000000" w:themeColor="text1"/>
                <w:u w:val="single"/>
                <w:lang w:val="en-GB" w:eastAsia="zh-CN"/>
              </w:rPr>
            </w:pPr>
            <w:r w:rsidRPr="00936647">
              <w:rPr>
                <w:color w:val="000000" w:themeColor="text1"/>
                <w:u w:val="single"/>
                <w:lang w:eastAsia="zh-CN"/>
              </w:rPr>
              <w:t xml:space="preserve">Other </w:t>
            </w:r>
            <w:r>
              <w:rPr>
                <w:color w:val="000000" w:themeColor="text1"/>
                <w:u w:val="single"/>
                <w:lang w:eastAsia="zh-CN"/>
              </w:rPr>
              <w:t>requirement</w:t>
            </w:r>
            <w:r w:rsidRPr="00936647">
              <w:rPr>
                <w:color w:val="000000" w:themeColor="text1"/>
                <w:u w:val="single"/>
                <w:lang w:eastAsia="zh-CN"/>
              </w:rPr>
              <w:t>s</w:t>
            </w:r>
          </w:p>
          <w:p w14:paraId="19BD07C4" w14:textId="77777777" w:rsidR="004449E8" w:rsidRPr="004449E8" w:rsidRDefault="004449E8" w:rsidP="004449E8">
            <w:pPr>
              <w:pStyle w:val="ListParagraph"/>
              <w:numPr>
                <w:ilvl w:val="0"/>
                <w:numId w:val="9"/>
              </w:numPr>
              <w:tabs>
                <w:tab w:val="left" w:pos="555"/>
              </w:tabs>
              <w:ind w:left="318" w:hanging="318"/>
              <w:contextualSpacing w:val="0"/>
              <w:rPr>
                <w:color w:val="000000" w:themeColor="text1"/>
                <w:lang w:val="en-GB" w:eastAsia="zh-CN"/>
              </w:rPr>
            </w:pPr>
            <w:r>
              <w:rPr>
                <w:color w:val="000000" w:themeColor="text1"/>
                <w:lang w:eastAsia="zh-CN"/>
              </w:rPr>
              <w:t>W</w:t>
            </w:r>
            <w:r w:rsidRPr="00105411">
              <w:rPr>
                <w:color w:val="000000" w:themeColor="text1"/>
                <w:lang w:eastAsia="zh-CN"/>
              </w:rPr>
              <w:t>hether to introduce a mapping table between legacy measurement gap patterns and corresponding NCSG patterns</w:t>
            </w:r>
          </w:p>
          <w:p w14:paraId="74F65884" w14:textId="48A915FB" w:rsidR="004449E8" w:rsidRPr="004449E8" w:rsidRDefault="004449E8" w:rsidP="004449E8">
            <w:pPr>
              <w:pStyle w:val="ListParagraph"/>
              <w:numPr>
                <w:ilvl w:val="0"/>
                <w:numId w:val="9"/>
              </w:numPr>
              <w:tabs>
                <w:tab w:val="left" w:pos="555"/>
              </w:tabs>
              <w:spacing w:after="120"/>
              <w:ind w:left="318" w:hanging="318"/>
              <w:contextualSpacing w:val="0"/>
              <w:rPr>
                <w:color w:val="000000" w:themeColor="text1"/>
                <w:lang w:val="en-GB" w:eastAsia="zh-CN"/>
              </w:rPr>
            </w:pPr>
            <w:r w:rsidRPr="004449E8">
              <w:rPr>
                <w:color w:val="000000" w:themeColor="text1"/>
                <w:lang w:eastAsia="zh-CN"/>
              </w:rPr>
              <w:t>Whether to define transformation between NCSG and legacy gap</w:t>
            </w:r>
          </w:p>
        </w:tc>
      </w:tr>
    </w:tbl>
    <w:p w14:paraId="3719E4BF" w14:textId="40CB765E" w:rsidR="004449E8" w:rsidRDefault="004449E8" w:rsidP="004449E8">
      <w:pPr>
        <w:spacing w:before="180"/>
      </w:pPr>
      <w:r>
        <w:t xml:space="preserve">In our view, no mapping table between NSCG and legacy measurement gap pattern is  needed, as NCSG pattern are specified in a different table in a different section. In addition, legacy gap patterns </w:t>
      </w:r>
      <w:r w:rsidR="001F3B31">
        <w:t>#</w:t>
      </w:r>
      <w:r>
        <w:t xml:space="preserve">24 and </w:t>
      </w:r>
      <w:r w:rsidR="001F3B31">
        <w:t>#</w:t>
      </w:r>
      <w:r>
        <w:t>25 do not apply for NCSG, which in turn may be defined for longer MGRPs in Rel-18, deviating from legacy MG</w:t>
      </w:r>
      <w:r w:rsidR="001F3B31">
        <w:t>P. Thus, no mapping table</w:t>
      </w:r>
      <w:r w:rsidR="001F3B31" w:rsidRPr="00105411">
        <w:rPr>
          <w:color w:val="000000" w:themeColor="text1"/>
          <w:lang w:eastAsia="zh-CN"/>
        </w:rPr>
        <w:t xml:space="preserve"> between legacy measurement gap patterns and corresponding NCSG patterns</w:t>
      </w:r>
      <w:r w:rsidR="001F3B31">
        <w:t xml:space="preserve"> is needed. Similarly, no transformation between NCSG and legacy gap is needed. NCSG can be configured independently from legacy gap and covers only a subset of scenarios for legacy gap.</w:t>
      </w:r>
    </w:p>
    <w:p w14:paraId="50608FB5" w14:textId="77777777" w:rsidR="001F3B31" w:rsidRPr="00AE7297" w:rsidRDefault="001F3B31" w:rsidP="001F3B31">
      <w:pPr>
        <w:rPr>
          <w:color w:val="000000" w:themeColor="text1"/>
          <w:lang w:val="en-GB"/>
        </w:rPr>
      </w:pPr>
      <w:r w:rsidRPr="00AE7297">
        <w:rPr>
          <w:color w:val="000000" w:themeColor="text1"/>
          <w:lang w:val="en-GB"/>
        </w:rPr>
        <w:t>The following proposal is made.</w:t>
      </w:r>
    </w:p>
    <w:p w14:paraId="2BB06606" w14:textId="7CB800A3" w:rsidR="001F3B31" w:rsidRPr="004449E8" w:rsidRDefault="001F3B31" w:rsidP="004D5ECD">
      <w:pPr>
        <w:pStyle w:val="RAN4proposal"/>
        <w:spacing w:before="180"/>
        <w:ind w:left="1134" w:hanging="1134"/>
      </w:pPr>
      <w:r>
        <w:tab/>
        <w:t xml:space="preserve">No </w:t>
      </w:r>
      <w:r w:rsidRPr="001F3B31">
        <w:t>mapping table between legacy measurement gap patterns and corresponding NCSG patterns is needed</w:t>
      </w:r>
      <w:r>
        <w:t xml:space="preserve"> and no transformation between NCSG and legacy gap is needed.</w:t>
      </w:r>
      <w:r w:rsidRPr="001F3B31">
        <w:t xml:space="preserve"> </w:t>
      </w:r>
    </w:p>
    <w:p w14:paraId="1B15C7EF" w14:textId="77777777" w:rsidR="00CD7492" w:rsidRPr="00612A50" w:rsidRDefault="00CD7492" w:rsidP="00A37002">
      <w:pPr>
        <w:pStyle w:val="RAN4H1"/>
        <w:rPr>
          <w:color w:val="000000" w:themeColor="text1"/>
        </w:rPr>
      </w:pPr>
      <w:r w:rsidRPr="00612A50">
        <w:rPr>
          <w:color w:val="000000" w:themeColor="text1"/>
        </w:rPr>
        <w:t>Conclusion</w:t>
      </w:r>
    </w:p>
    <w:p w14:paraId="2A7338AD" w14:textId="422865D6" w:rsidR="00803CAF" w:rsidRPr="00612A50" w:rsidRDefault="0098494A" w:rsidP="00D370D4">
      <w:pPr>
        <w:rPr>
          <w:color w:val="000000" w:themeColor="text1"/>
          <w:lang w:val="en-GB"/>
        </w:rPr>
      </w:pPr>
      <w:r w:rsidRPr="00612A50">
        <w:rPr>
          <w:color w:val="000000" w:themeColor="text1"/>
          <w:lang w:val="en-GB"/>
        </w:rPr>
        <w:t xml:space="preserve">This contribution </w:t>
      </w:r>
      <w:r w:rsidR="006E3700" w:rsidRPr="00612A50">
        <w:rPr>
          <w:color w:val="000000" w:themeColor="text1"/>
          <w:lang w:val="en-GB"/>
        </w:rPr>
        <w:t>has</w:t>
      </w:r>
      <w:r w:rsidR="004869B2" w:rsidRPr="00612A50">
        <w:rPr>
          <w:color w:val="000000" w:themeColor="text1"/>
          <w:lang w:val="en-GB"/>
        </w:rPr>
        <w:t xml:space="preserve"> </w:t>
      </w:r>
      <w:r w:rsidR="007646C9" w:rsidRPr="00612A50">
        <w:rPr>
          <w:color w:val="000000" w:themeColor="text1"/>
          <w:lang w:val="en-GB"/>
        </w:rPr>
        <w:t xml:space="preserve">discussed open issues </w:t>
      </w:r>
      <w:r w:rsidR="004E0CDE" w:rsidRPr="00612A50">
        <w:rPr>
          <w:color w:val="000000" w:themeColor="text1"/>
          <w:lang w:val="en-GB"/>
        </w:rPr>
        <w:t xml:space="preserve">for NCSG </w:t>
      </w:r>
      <w:r w:rsidR="007646C9" w:rsidRPr="00612A50">
        <w:rPr>
          <w:color w:val="000000" w:themeColor="text1"/>
          <w:lang w:val="en-GB"/>
        </w:rPr>
        <w:t>as listed in the RAN4 #</w:t>
      </w:r>
      <w:r w:rsidR="00AE7297">
        <w:rPr>
          <w:color w:val="000000" w:themeColor="text1"/>
          <w:lang w:val="en-GB"/>
        </w:rPr>
        <w:t>10</w:t>
      </w:r>
      <w:r w:rsidR="001F3B31">
        <w:rPr>
          <w:color w:val="000000" w:themeColor="text1"/>
          <w:lang w:val="en-GB"/>
        </w:rPr>
        <w:t>1</w:t>
      </w:r>
      <w:r w:rsidR="00A872CD" w:rsidRPr="00612A50">
        <w:rPr>
          <w:color w:val="000000" w:themeColor="text1"/>
          <w:lang w:val="en-GB"/>
        </w:rPr>
        <w:t>-</w:t>
      </w:r>
      <w:r w:rsidR="004E0CDE" w:rsidRPr="00612A50">
        <w:rPr>
          <w:color w:val="000000" w:themeColor="text1"/>
          <w:lang w:val="en-GB"/>
        </w:rPr>
        <w:t>e</w:t>
      </w:r>
      <w:r w:rsidR="007646C9" w:rsidRPr="00612A50">
        <w:rPr>
          <w:color w:val="000000" w:themeColor="text1"/>
          <w:lang w:val="en-GB"/>
        </w:rPr>
        <w:t xml:space="preserve"> WF [2]</w:t>
      </w:r>
      <w:r w:rsidR="00A872CD" w:rsidRPr="00612A50">
        <w:rPr>
          <w:color w:val="000000" w:themeColor="text1"/>
          <w:lang w:val="en-GB"/>
        </w:rPr>
        <w:t>.</w:t>
      </w:r>
    </w:p>
    <w:p w14:paraId="1B3A6590" w14:textId="661A3CD8" w:rsidR="006B48F8" w:rsidRPr="00612A50" w:rsidRDefault="00F22AC3" w:rsidP="00D370D4">
      <w:pPr>
        <w:rPr>
          <w:color w:val="000000" w:themeColor="text1"/>
          <w:lang w:val="en-GB" w:eastAsia="x-none"/>
        </w:rPr>
      </w:pPr>
      <w:r w:rsidRPr="00612A50">
        <w:rPr>
          <w:color w:val="000000" w:themeColor="text1"/>
          <w:lang w:val="en-GB"/>
        </w:rPr>
        <w:t>The following proposals are</w:t>
      </w:r>
      <w:r w:rsidR="006B48F8" w:rsidRPr="00612A50">
        <w:rPr>
          <w:color w:val="000000" w:themeColor="text1"/>
          <w:lang w:val="en-GB"/>
        </w:rPr>
        <w:t xml:space="preserve"> submitted for discussion:</w:t>
      </w:r>
      <w:r w:rsidR="006B48F8" w:rsidRPr="00612A50">
        <w:rPr>
          <w:color w:val="000000" w:themeColor="text1"/>
          <w:lang w:val="en-GB" w:eastAsia="x-none"/>
        </w:rPr>
        <w:t xml:space="preserve"> </w:t>
      </w:r>
    </w:p>
    <w:p w14:paraId="6D59F7BF" w14:textId="0F58F324" w:rsidR="00B53A71" w:rsidRPr="003776DA" w:rsidRDefault="0092340B" w:rsidP="00B53A71">
      <w:pPr>
        <w:pStyle w:val="RAN4Proposal0"/>
        <w:numPr>
          <w:ilvl w:val="0"/>
          <w:numId w:val="6"/>
        </w:numPr>
        <w:ind w:left="1134" w:hanging="1134"/>
        <w:contextualSpacing w:val="0"/>
      </w:pPr>
      <w:r w:rsidRPr="003776DA">
        <w:t>De-prioritize the scenario of NCSG support for measuring dormant SCell</w:t>
      </w:r>
      <w:r w:rsidR="009606A3" w:rsidRPr="003776DA">
        <w:t>.</w:t>
      </w:r>
    </w:p>
    <w:p w14:paraId="091C5CFF" w14:textId="1A5123EC" w:rsidR="00B53A71" w:rsidRPr="003776DA" w:rsidRDefault="009606A3" w:rsidP="007646C9">
      <w:pPr>
        <w:pStyle w:val="RAN4Proposal0"/>
        <w:ind w:left="1134" w:hanging="1134"/>
        <w:contextualSpacing w:val="0"/>
      </w:pPr>
      <w:r w:rsidRPr="003776DA">
        <w:t xml:space="preserve">NCSG </w:t>
      </w:r>
      <w:r w:rsidR="004C6282" w:rsidRPr="003776DA">
        <w:t>can be used for</w:t>
      </w:r>
      <w:r w:rsidRPr="003776DA">
        <w:rPr>
          <w:color w:val="000000" w:themeColor="text1"/>
          <w:lang w:eastAsia="zh-CN"/>
        </w:rPr>
        <w:t xml:space="preserve"> measuring CSI-RS L3 based inter-frequency measurement with gap.</w:t>
      </w:r>
    </w:p>
    <w:p w14:paraId="780D469C" w14:textId="3487F15D" w:rsidR="006A3D93" w:rsidRPr="003776DA" w:rsidRDefault="0092340B" w:rsidP="006A3D93">
      <w:pPr>
        <w:pStyle w:val="RAN4Proposal0"/>
        <w:ind w:left="1134" w:hanging="1134"/>
        <w:contextualSpacing w:val="0"/>
      </w:pPr>
      <w:r w:rsidRPr="003776DA">
        <w:rPr>
          <w:lang w:eastAsia="zh-CN"/>
        </w:rPr>
        <w:t>The support of NCSG in EN-DC, NE-DC and NR-DC is de-prioritized in Rel-17</w:t>
      </w:r>
      <w:r w:rsidR="006B48F8" w:rsidRPr="003776DA">
        <w:t xml:space="preserve">. </w:t>
      </w:r>
    </w:p>
    <w:p w14:paraId="43784574" w14:textId="3987B263" w:rsidR="006A3D93" w:rsidRPr="003776DA" w:rsidRDefault="0092340B" w:rsidP="006446D6">
      <w:pPr>
        <w:pStyle w:val="RAN4Proposal0"/>
        <w:ind w:left="1134" w:hanging="1134"/>
        <w:contextualSpacing w:val="0"/>
      </w:pPr>
      <w:r w:rsidRPr="003776DA">
        <w:rPr>
          <w:lang w:eastAsia="zh-CN"/>
        </w:rPr>
        <w:t>NCSG is applicable in FR2 for Rel-17 under conditions listed in Option 2A</w:t>
      </w:r>
      <w:r w:rsidR="00F208B8">
        <w:rPr>
          <w:lang w:eastAsia="zh-CN"/>
        </w:rPr>
        <w:t xml:space="preserve"> in WF [2]</w:t>
      </w:r>
      <w:r w:rsidR="006A3D93" w:rsidRPr="003776DA">
        <w:rPr>
          <w:lang w:eastAsia="zh-CN"/>
        </w:rPr>
        <w:t>.</w:t>
      </w:r>
      <w:r w:rsidR="006A3D93" w:rsidRPr="003776DA">
        <w:t xml:space="preserve"> </w:t>
      </w:r>
    </w:p>
    <w:p w14:paraId="6A0FBC6E" w14:textId="76460E0D" w:rsidR="00A24416" w:rsidRPr="003776DA" w:rsidRDefault="00247EEE" w:rsidP="00A24416">
      <w:pPr>
        <w:pStyle w:val="RAN4Proposal0"/>
        <w:ind w:left="1134" w:hanging="1134"/>
        <w:contextualSpacing w:val="0"/>
      </w:pPr>
      <w:r w:rsidRPr="003776DA">
        <w:rPr>
          <w:color w:val="000000" w:themeColor="text1"/>
        </w:rPr>
        <w:t>No additional mandatory NSCG pattern beyond NCSG patterns #0 and #1 will be specified. Existing gap applicability in Rel-16 for NR-only measurements and mandatory gap patterns is re-used for NCSG capable UEs.</w:t>
      </w:r>
    </w:p>
    <w:p w14:paraId="729ABEC7" w14:textId="0FC7293F" w:rsidR="003776DA" w:rsidRPr="003776DA" w:rsidRDefault="009576F1" w:rsidP="00F208B8">
      <w:pPr>
        <w:pStyle w:val="RAN4Proposal0"/>
        <w:ind w:left="1134" w:hanging="1134"/>
        <w:contextualSpacing w:val="0"/>
      </w:pPr>
      <w:r w:rsidRPr="003776DA">
        <w:rPr>
          <w:color w:val="000000" w:themeColor="text1"/>
        </w:rPr>
        <w:t>RAN4 not to consider any additional NCSG capability other than per-UE gap and per-FR gap in Rel-17</w:t>
      </w:r>
      <w:r w:rsidR="00A42FFF" w:rsidRPr="003776DA">
        <w:t>.</w:t>
      </w:r>
    </w:p>
    <w:p w14:paraId="1AD3CE32" w14:textId="4C87784F" w:rsidR="003776DA" w:rsidRPr="003776DA" w:rsidRDefault="003776DA" w:rsidP="00F208B8">
      <w:pPr>
        <w:pStyle w:val="RAN4Proposal0"/>
        <w:ind w:left="1134" w:hanging="1134"/>
        <w:contextualSpacing w:val="0"/>
      </w:pPr>
      <w:r>
        <w:t>Option 2 in</w:t>
      </w:r>
      <w:r w:rsidR="00F208B8">
        <w:t xml:space="preserve"> </w:t>
      </w:r>
      <w:r>
        <w:t xml:space="preserve">WF [2] is supported. RRM requirements for NCSG should follow this table. </w:t>
      </w:r>
    </w:p>
    <w:p w14:paraId="35BAD655" w14:textId="62745EE1" w:rsidR="001F3B31" w:rsidRPr="001F3B31" w:rsidRDefault="003776DA" w:rsidP="001F3B31">
      <w:pPr>
        <w:pStyle w:val="RAN4Proposal0"/>
        <w:ind w:left="1134" w:hanging="1134"/>
        <w:contextualSpacing w:val="0"/>
        <w:rPr>
          <w:rFonts w:eastAsiaTheme="minorEastAsia"/>
        </w:rPr>
      </w:pPr>
      <w:r w:rsidRPr="003776DA">
        <w:t>Option 2</w:t>
      </w:r>
      <w:r w:rsidR="00F208B8">
        <w:t xml:space="preserve"> </w:t>
      </w:r>
      <w:r w:rsidR="00F208B8">
        <w:rPr>
          <w:lang w:eastAsia="zh-CN"/>
        </w:rPr>
        <w:t>in WF [2]</w:t>
      </w:r>
      <w:r w:rsidRPr="003776DA">
        <w:t xml:space="preserve"> is supported for scheduling restrictions in FR1. </w:t>
      </w:r>
      <w:r w:rsidRPr="003776DA">
        <w:rPr>
          <w:color w:val="000000" w:themeColor="text1"/>
          <w:lang w:eastAsia="zh-CN"/>
        </w:rPr>
        <w:t>For FR2, in case of inter-band SSB measurement with IBM condition, we do not observe scheduling restriction, in case of simultaneous UL and DL support</w:t>
      </w:r>
      <w:r w:rsidR="009576F1" w:rsidRPr="003776DA">
        <w:rPr>
          <w:rFonts w:eastAsiaTheme="minorEastAsia"/>
        </w:rPr>
        <w:t>.</w:t>
      </w:r>
    </w:p>
    <w:p w14:paraId="7F2D53DE" w14:textId="77C7838D" w:rsidR="001F3B31" w:rsidRPr="001F3B31" w:rsidRDefault="001F3B31" w:rsidP="001F3B31">
      <w:pPr>
        <w:pStyle w:val="RAN4Proposal0"/>
        <w:ind w:left="1134" w:hanging="1134"/>
      </w:pPr>
      <w:r>
        <w:t xml:space="preserve">No </w:t>
      </w:r>
      <w:r w:rsidRPr="001F3B31">
        <w:t>mapping table between legacy measurement gap patterns and corresponding NCSG patterns is needed</w:t>
      </w:r>
      <w:r>
        <w:t xml:space="preserve"> and no transformation between NCSG and legacy gap is needed.</w:t>
      </w:r>
    </w:p>
    <w:p w14:paraId="4D834CF1" w14:textId="74A5B387" w:rsidR="00112458" w:rsidRPr="001433B1" w:rsidRDefault="003B659E" w:rsidP="00112458">
      <w:pPr>
        <w:pStyle w:val="RAN4H1"/>
      </w:pPr>
      <w:r w:rsidRPr="00612A50">
        <w:lastRenderedPageBreak/>
        <w:t>References</w:t>
      </w:r>
    </w:p>
    <w:p w14:paraId="52F2F3E4" w14:textId="4373447E" w:rsidR="00112458" w:rsidRPr="00112458" w:rsidRDefault="00112458" w:rsidP="00112458">
      <w:pPr>
        <w:numPr>
          <w:ilvl w:val="0"/>
          <w:numId w:val="1"/>
        </w:numPr>
        <w:overflowPunct w:val="0"/>
        <w:autoSpaceDE w:val="0"/>
        <w:autoSpaceDN w:val="0"/>
        <w:adjustRightInd w:val="0"/>
        <w:spacing w:after="120" w:line="240" w:lineRule="auto"/>
        <w:ind w:left="364" w:hanging="364"/>
        <w:jc w:val="both"/>
        <w:textAlignment w:val="baseline"/>
        <w:rPr>
          <w:rFonts w:eastAsia="Times New Roman" w:cs="Times New Roman"/>
          <w:szCs w:val="20"/>
          <w:lang w:val="en-GB"/>
        </w:rPr>
      </w:pPr>
      <w:r w:rsidRPr="001433B1">
        <w:rPr>
          <w:rFonts w:eastAsia="Times New Roman" w:cs="Times New Roman"/>
          <w:szCs w:val="20"/>
          <w:lang w:val="en-GB"/>
        </w:rPr>
        <w:t>RP-20</w:t>
      </w:r>
      <w:r>
        <w:rPr>
          <w:rFonts w:eastAsia="Times New Roman" w:cs="Times New Roman"/>
          <w:szCs w:val="20"/>
          <w:lang w:val="en-GB"/>
        </w:rPr>
        <w:t>3</w:t>
      </w:r>
      <w:r w:rsidRPr="001433B1">
        <w:rPr>
          <w:rFonts w:eastAsia="Times New Roman" w:cs="Times New Roman"/>
          <w:szCs w:val="20"/>
          <w:lang w:val="en-GB"/>
        </w:rPr>
        <w:t xml:space="preserve">658, </w:t>
      </w:r>
      <w:r w:rsidRPr="001433B1">
        <w:rPr>
          <w:rFonts w:eastAsia="Times New Roman" w:cs="Times New Roman"/>
          <w:bCs/>
          <w:szCs w:val="20"/>
          <w:lang w:val="en-GB"/>
        </w:rPr>
        <w:t>Revised WID on NR and MR-DC measurement gap enhancements</w:t>
      </w:r>
      <w:r w:rsidRPr="001433B1">
        <w:rPr>
          <w:rFonts w:eastAsia="Times New Roman" w:cs="Times New Roman"/>
          <w:szCs w:val="20"/>
          <w:lang w:val="en-GB"/>
        </w:rPr>
        <w:t>, Intel Corporation, MediaTek Inc.</w:t>
      </w:r>
    </w:p>
    <w:p w14:paraId="22D89864" w14:textId="7384DCC7" w:rsidR="004048FA" w:rsidRDefault="0051424B"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51424B">
        <w:rPr>
          <w:rFonts w:eastAsia="Times New Roman" w:cs="Times New Roman"/>
          <w:color w:val="000000" w:themeColor="text1"/>
          <w:szCs w:val="20"/>
          <w:lang w:val="en-GB"/>
        </w:rPr>
        <w:t>R4-21</w:t>
      </w:r>
      <w:r w:rsidR="00112458">
        <w:rPr>
          <w:rFonts w:eastAsia="Times New Roman" w:cs="Times New Roman"/>
          <w:color w:val="000000" w:themeColor="text1"/>
          <w:szCs w:val="20"/>
          <w:lang w:val="en-GB"/>
        </w:rPr>
        <w:t>20415</w:t>
      </w:r>
      <w:r w:rsidRPr="0051424B">
        <w:rPr>
          <w:rFonts w:eastAsia="Times New Roman" w:cs="Times New Roman"/>
          <w:color w:val="000000" w:themeColor="text1"/>
          <w:szCs w:val="20"/>
          <w:lang w:val="en-GB"/>
        </w:rPr>
        <w:t>, WF on NR MG enhancements – NCSG, Apple</w:t>
      </w:r>
    </w:p>
    <w:p w14:paraId="4B16A206" w14:textId="7D2C60BA" w:rsidR="004C6282" w:rsidRPr="00612A50" w:rsidRDefault="004C6282"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Pr>
          <w:rStyle w:val="normaltextrun"/>
          <w:color w:val="000000"/>
          <w:szCs w:val="20"/>
          <w:shd w:val="clear" w:color="auto" w:fill="FFFFFF"/>
        </w:rPr>
        <w:t>R4-2120306, LS on NCSG, </w:t>
      </w:r>
      <w:r w:rsidR="001F3B31">
        <w:rPr>
          <w:rStyle w:val="normaltextrun"/>
          <w:color w:val="000000"/>
          <w:szCs w:val="20"/>
          <w:shd w:val="clear" w:color="auto" w:fill="FFFFFF"/>
        </w:rPr>
        <w:t>RAN4</w:t>
      </w:r>
      <w:r>
        <w:rPr>
          <w:rStyle w:val="eop"/>
          <w:color w:val="000000"/>
          <w:szCs w:val="20"/>
          <w:shd w:val="clear" w:color="auto" w:fill="FFFFFF"/>
        </w:rPr>
        <w:t> </w:t>
      </w:r>
    </w:p>
    <w:p w14:paraId="2E8C03D2" w14:textId="6E5B9106" w:rsidR="00841CBB" w:rsidRPr="008A0A95" w:rsidRDefault="00397BC2" w:rsidP="00841CBB">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AE7297">
        <w:rPr>
          <w:rFonts w:eastAsia="Times New Roman" w:cs="Times New Roman"/>
          <w:color w:val="000000" w:themeColor="text1"/>
          <w:szCs w:val="20"/>
          <w:lang w:val="en-GB"/>
        </w:rPr>
        <w:t>R4-21</w:t>
      </w:r>
      <w:r w:rsidR="00112458">
        <w:rPr>
          <w:rFonts w:eastAsia="Times New Roman" w:cs="Times New Roman"/>
          <w:color w:val="000000" w:themeColor="text1"/>
          <w:szCs w:val="20"/>
          <w:lang w:val="en-GB"/>
        </w:rPr>
        <w:t>20365</w:t>
      </w:r>
      <w:r w:rsidRPr="00AE7297">
        <w:rPr>
          <w:rFonts w:eastAsia="Times New Roman" w:cs="Times New Roman"/>
          <w:color w:val="000000" w:themeColor="text1"/>
          <w:szCs w:val="20"/>
          <w:lang w:val="en-GB"/>
        </w:rPr>
        <w:t xml:space="preserve">, </w:t>
      </w:r>
      <w:r w:rsidR="00AE7297" w:rsidRPr="00AE7297">
        <w:rPr>
          <w:rFonts w:eastAsia="Times New Roman" w:cs="Times New Roman"/>
          <w:color w:val="000000" w:themeColor="text1"/>
          <w:szCs w:val="20"/>
          <w:lang w:val="en-GB"/>
        </w:rPr>
        <w:t>Email discussion summary for [10</w:t>
      </w:r>
      <w:r w:rsidR="00112458">
        <w:rPr>
          <w:rFonts w:eastAsia="Times New Roman" w:cs="Times New Roman"/>
          <w:color w:val="000000" w:themeColor="text1"/>
          <w:szCs w:val="20"/>
          <w:lang w:val="en-GB"/>
        </w:rPr>
        <w:t>1</w:t>
      </w:r>
      <w:r w:rsidR="00AE7297" w:rsidRPr="00AE7297">
        <w:rPr>
          <w:rFonts w:eastAsia="Times New Roman" w:cs="Times New Roman"/>
          <w:color w:val="000000" w:themeColor="text1"/>
          <w:szCs w:val="20"/>
          <w:lang w:val="en-GB"/>
        </w:rPr>
        <w:t>-e][22</w:t>
      </w:r>
      <w:r w:rsidR="00112458">
        <w:rPr>
          <w:rFonts w:eastAsia="Times New Roman" w:cs="Times New Roman"/>
          <w:color w:val="000000" w:themeColor="text1"/>
          <w:szCs w:val="20"/>
          <w:lang w:val="en-GB"/>
        </w:rPr>
        <w:t>3</w:t>
      </w:r>
      <w:r w:rsidR="00AE7297" w:rsidRPr="00AE7297">
        <w:rPr>
          <w:rFonts w:eastAsia="Times New Roman" w:cs="Times New Roman"/>
          <w:color w:val="000000" w:themeColor="text1"/>
          <w:szCs w:val="20"/>
          <w:lang w:val="en-GB"/>
        </w:rPr>
        <w:t>] NR_MG_enh_3, Apple</w:t>
      </w:r>
    </w:p>
    <w:sectPr w:rsidR="00841CBB" w:rsidRPr="008A0A95" w:rsidSect="006F53EC">
      <w:footerReference w:type="default" r:id="rId13"/>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F9DA3" w14:textId="77777777" w:rsidR="00112458" w:rsidRDefault="00112458" w:rsidP="00001C9B">
      <w:pPr>
        <w:spacing w:after="0" w:line="240" w:lineRule="auto"/>
      </w:pPr>
      <w:r>
        <w:separator/>
      </w:r>
    </w:p>
  </w:endnote>
  <w:endnote w:type="continuationSeparator" w:id="0">
    <w:p w14:paraId="7FBA7E90" w14:textId="77777777" w:rsidR="00112458" w:rsidRDefault="0011245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112458" w:rsidRDefault="00112458">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B5B572" w14:textId="77777777" w:rsidR="00112458" w:rsidRDefault="00112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DC3AD" w14:textId="77777777" w:rsidR="00112458" w:rsidRDefault="00112458" w:rsidP="00001C9B">
      <w:pPr>
        <w:spacing w:after="0" w:line="240" w:lineRule="auto"/>
      </w:pPr>
      <w:r>
        <w:separator/>
      </w:r>
    </w:p>
  </w:footnote>
  <w:footnote w:type="continuationSeparator" w:id="0">
    <w:p w14:paraId="18DAD7FC" w14:textId="77777777" w:rsidR="00112458" w:rsidRDefault="0011245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D581630"/>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1F2E0A"/>
    <w:multiLevelType w:val="hybridMultilevel"/>
    <w:tmpl w:val="F1AA9B60"/>
    <w:lvl w:ilvl="0" w:tplc="088AED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535416"/>
    <w:multiLevelType w:val="hybridMultilevel"/>
    <w:tmpl w:val="85A8F2F0"/>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BC713F"/>
    <w:multiLevelType w:val="hybridMultilevel"/>
    <w:tmpl w:val="AC16738C"/>
    <w:lvl w:ilvl="0" w:tplc="39480442">
      <w:start w:val="1"/>
      <w:numFmt w:val="bullet"/>
      <w:lvlText w:val="-"/>
      <w:lvlJc w:val="left"/>
      <w:pPr>
        <w:tabs>
          <w:tab w:val="num" w:pos="720"/>
        </w:tabs>
        <w:ind w:left="720" w:hanging="360"/>
      </w:pPr>
      <w:rPr>
        <w:rFonts w:ascii="Lucida Grande" w:hAnsi="Lucida Grande" w:hint="default"/>
      </w:rPr>
    </w:lvl>
    <w:lvl w:ilvl="1" w:tplc="D42E6D26">
      <w:start w:val="1"/>
      <w:numFmt w:val="bullet"/>
      <w:lvlText w:val="-"/>
      <w:lvlJc w:val="left"/>
      <w:pPr>
        <w:tabs>
          <w:tab w:val="num" w:pos="1440"/>
        </w:tabs>
        <w:ind w:left="1440" w:hanging="360"/>
      </w:pPr>
      <w:rPr>
        <w:rFonts w:ascii="Lucida Grande" w:hAnsi="Lucida Grande" w:hint="default"/>
      </w:rPr>
    </w:lvl>
    <w:lvl w:ilvl="2" w:tplc="E9F88E12" w:tentative="1">
      <w:start w:val="1"/>
      <w:numFmt w:val="bullet"/>
      <w:lvlText w:val="-"/>
      <w:lvlJc w:val="left"/>
      <w:pPr>
        <w:tabs>
          <w:tab w:val="num" w:pos="2160"/>
        </w:tabs>
        <w:ind w:left="2160" w:hanging="360"/>
      </w:pPr>
      <w:rPr>
        <w:rFonts w:ascii="Lucida Grande" w:hAnsi="Lucida Grande" w:hint="default"/>
      </w:rPr>
    </w:lvl>
    <w:lvl w:ilvl="3" w:tplc="AC92E120" w:tentative="1">
      <w:start w:val="1"/>
      <w:numFmt w:val="bullet"/>
      <w:lvlText w:val="-"/>
      <w:lvlJc w:val="left"/>
      <w:pPr>
        <w:tabs>
          <w:tab w:val="num" w:pos="2880"/>
        </w:tabs>
        <w:ind w:left="2880" w:hanging="360"/>
      </w:pPr>
      <w:rPr>
        <w:rFonts w:ascii="Lucida Grande" w:hAnsi="Lucida Grande" w:hint="default"/>
      </w:rPr>
    </w:lvl>
    <w:lvl w:ilvl="4" w:tplc="439ABCEE" w:tentative="1">
      <w:start w:val="1"/>
      <w:numFmt w:val="bullet"/>
      <w:lvlText w:val="-"/>
      <w:lvlJc w:val="left"/>
      <w:pPr>
        <w:tabs>
          <w:tab w:val="num" w:pos="3600"/>
        </w:tabs>
        <w:ind w:left="3600" w:hanging="360"/>
      </w:pPr>
      <w:rPr>
        <w:rFonts w:ascii="Lucida Grande" w:hAnsi="Lucida Grande" w:hint="default"/>
      </w:rPr>
    </w:lvl>
    <w:lvl w:ilvl="5" w:tplc="79DA269C" w:tentative="1">
      <w:start w:val="1"/>
      <w:numFmt w:val="bullet"/>
      <w:lvlText w:val="-"/>
      <w:lvlJc w:val="left"/>
      <w:pPr>
        <w:tabs>
          <w:tab w:val="num" w:pos="4320"/>
        </w:tabs>
        <w:ind w:left="4320" w:hanging="360"/>
      </w:pPr>
      <w:rPr>
        <w:rFonts w:ascii="Lucida Grande" w:hAnsi="Lucida Grande" w:hint="default"/>
      </w:rPr>
    </w:lvl>
    <w:lvl w:ilvl="6" w:tplc="84308F44" w:tentative="1">
      <w:start w:val="1"/>
      <w:numFmt w:val="bullet"/>
      <w:lvlText w:val="-"/>
      <w:lvlJc w:val="left"/>
      <w:pPr>
        <w:tabs>
          <w:tab w:val="num" w:pos="5040"/>
        </w:tabs>
        <w:ind w:left="5040" w:hanging="360"/>
      </w:pPr>
      <w:rPr>
        <w:rFonts w:ascii="Lucida Grande" w:hAnsi="Lucida Grande" w:hint="default"/>
      </w:rPr>
    </w:lvl>
    <w:lvl w:ilvl="7" w:tplc="9AC87414" w:tentative="1">
      <w:start w:val="1"/>
      <w:numFmt w:val="bullet"/>
      <w:lvlText w:val="-"/>
      <w:lvlJc w:val="left"/>
      <w:pPr>
        <w:tabs>
          <w:tab w:val="num" w:pos="5760"/>
        </w:tabs>
        <w:ind w:left="5760" w:hanging="360"/>
      </w:pPr>
      <w:rPr>
        <w:rFonts w:ascii="Lucida Grande" w:hAnsi="Lucida Grande" w:hint="default"/>
      </w:rPr>
    </w:lvl>
    <w:lvl w:ilvl="8" w:tplc="A6E09274"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24EB1521"/>
    <w:multiLevelType w:val="hybridMultilevel"/>
    <w:tmpl w:val="1110E140"/>
    <w:lvl w:ilvl="0" w:tplc="C046F83A">
      <w:start w:val="1"/>
      <w:numFmt w:val="bullet"/>
      <w:lvlText w:val=""/>
      <w:lvlJc w:val="left"/>
      <w:pPr>
        <w:ind w:left="394" w:hanging="360"/>
      </w:pPr>
      <w:rPr>
        <w:rFonts w:ascii="Symbol" w:hAnsi="Symbol" w:hint="default"/>
        <w:color w:val="000000" w:themeColor="text1"/>
      </w:rPr>
    </w:lvl>
    <w:lvl w:ilvl="1" w:tplc="04090003">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29B37F5B"/>
    <w:multiLevelType w:val="hybridMultilevel"/>
    <w:tmpl w:val="10804F12"/>
    <w:lvl w:ilvl="0" w:tplc="C046F83A">
      <w:start w:val="1"/>
      <w:numFmt w:val="bullet"/>
      <w:lvlText w:val=""/>
      <w:lvlJc w:val="left"/>
      <w:pPr>
        <w:ind w:left="928"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436FE"/>
    <w:multiLevelType w:val="hybridMultilevel"/>
    <w:tmpl w:val="AA865910"/>
    <w:lvl w:ilvl="0" w:tplc="C046F83A">
      <w:start w:val="1"/>
      <w:numFmt w:val="bullet"/>
      <w:lvlText w:val=""/>
      <w:lvlJc w:val="left"/>
      <w:pPr>
        <w:tabs>
          <w:tab w:val="num" w:pos="720"/>
        </w:tabs>
        <w:ind w:left="720" w:hanging="360"/>
      </w:pPr>
      <w:rPr>
        <w:rFonts w:ascii="Symbol" w:hAnsi="Symbol" w:hint="default"/>
        <w:color w:val="000000" w:themeColor="text1"/>
      </w:rPr>
    </w:lvl>
    <w:lvl w:ilvl="1" w:tplc="FA8C593E">
      <w:numFmt w:val="bullet"/>
      <w:lvlText w:val="–"/>
      <w:lvlJc w:val="left"/>
      <w:pPr>
        <w:tabs>
          <w:tab w:val="num" w:pos="1440"/>
        </w:tabs>
        <w:ind w:left="1440" w:hanging="360"/>
      </w:pPr>
      <w:rPr>
        <w:rFonts w:ascii="Arial" w:hAnsi="Arial"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17F02BB"/>
    <w:multiLevelType w:val="hybridMultilevel"/>
    <w:tmpl w:val="EF60DE9E"/>
    <w:lvl w:ilvl="0" w:tplc="976CAD40">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8672A"/>
    <w:multiLevelType w:val="hybridMultilevel"/>
    <w:tmpl w:val="813E98B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14859"/>
    <w:multiLevelType w:val="hybridMultilevel"/>
    <w:tmpl w:val="61903708"/>
    <w:lvl w:ilvl="0" w:tplc="907A1EAA">
      <w:start w:val="1"/>
      <w:numFmt w:val="bullet"/>
      <w:lvlText w:val="-"/>
      <w:lvlJc w:val="left"/>
      <w:pPr>
        <w:tabs>
          <w:tab w:val="num" w:pos="720"/>
        </w:tabs>
        <w:ind w:left="720" w:hanging="360"/>
      </w:pPr>
      <w:rPr>
        <w:rFonts w:ascii="Lucida Grande" w:hAnsi="Lucida Grande" w:hint="default"/>
      </w:rPr>
    </w:lvl>
    <w:lvl w:ilvl="1" w:tplc="DE26FA5A">
      <w:start w:val="1"/>
      <w:numFmt w:val="bullet"/>
      <w:lvlText w:val="-"/>
      <w:lvlJc w:val="left"/>
      <w:pPr>
        <w:tabs>
          <w:tab w:val="num" w:pos="1440"/>
        </w:tabs>
        <w:ind w:left="1440" w:hanging="360"/>
      </w:pPr>
      <w:rPr>
        <w:rFonts w:ascii="Lucida Grande" w:hAnsi="Lucida Grande" w:hint="default"/>
      </w:rPr>
    </w:lvl>
    <w:lvl w:ilvl="2" w:tplc="0E02DAD0" w:tentative="1">
      <w:start w:val="1"/>
      <w:numFmt w:val="bullet"/>
      <w:lvlText w:val="-"/>
      <w:lvlJc w:val="left"/>
      <w:pPr>
        <w:tabs>
          <w:tab w:val="num" w:pos="2160"/>
        </w:tabs>
        <w:ind w:left="2160" w:hanging="360"/>
      </w:pPr>
      <w:rPr>
        <w:rFonts w:ascii="Lucida Grande" w:hAnsi="Lucida Grande" w:hint="default"/>
      </w:rPr>
    </w:lvl>
    <w:lvl w:ilvl="3" w:tplc="04AA6256" w:tentative="1">
      <w:start w:val="1"/>
      <w:numFmt w:val="bullet"/>
      <w:lvlText w:val="-"/>
      <w:lvlJc w:val="left"/>
      <w:pPr>
        <w:tabs>
          <w:tab w:val="num" w:pos="2880"/>
        </w:tabs>
        <w:ind w:left="2880" w:hanging="360"/>
      </w:pPr>
      <w:rPr>
        <w:rFonts w:ascii="Lucida Grande" w:hAnsi="Lucida Grande" w:hint="default"/>
      </w:rPr>
    </w:lvl>
    <w:lvl w:ilvl="4" w:tplc="DC842F42" w:tentative="1">
      <w:start w:val="1"/>
      <w:numFmt w:val="bullet"/>
      <w:lvlText w:val="-"/>
      <w:lvlJc w:val="left"/>
      <w:pPr>
        <w:tabs>
          <w:tab w:val="num" w:pos="3600"/>
        </w:tabs>
        <w:ind w:left="3600" w:hanging="360"/>
      </w:pPr>
      <w:rPr>
        <w:rFonts w:ascii="Lucida Grande" w:hAnsi="Lucida Grande" w:hint="default"/>
      </w:rPr>
    </w:lvl>
    <w:lvl w:ilvl="5" w:tplc="689467EC" w:tentative="1">
      <w:start w:val="1"/>
      <w:numFmt w:val="bullet"/>
      <w:lvlText w:val="-"/>
      <w:lvlJc w:val="left"/>
      <w:pPr>
        <w:tabs>
          <w:tab w:val="num" w:pos="4320"/>
        </w:tabs>
        <w:ind w:left="4320" w:hanging="360"/>
      </w:pPr>
      <w:rPr>
        <w:rFonts w:ascii="Lucida Grande" w:hAnsi="Lucida Grande" w:hint="default"/>
      </w:rPr>
    </w:lvl>
    <w:lvl w:ilvl="6" w:tplc="2B7237DE" w:tentative="1">
      <w:start w:val="1"/>
      <w:numFmt w:val="bullet"/>
      <w:lvlText w:val="-"/>
      <w:lvlJc w:val="left"/>
      <w:pPr>
        <w:tabs>
          <w:tab w:val="num" w:pos="5040"/>
        </w:tabs>
        <w:ind w:left="5040" w:hanging="360"/>
      </w:pPr>
      <w:rPr>
        <w:rFonts w:ascii="Lucida Grande" w:hAnsi="Lucida Grande" w:hint="default"/>
      </w:rPr>
    </w:lvl>
    <w:lvl w:ilvl="7" w:tplc="AAA4E924" w:tentative="1">
      <w:start w:val="1"/>
      <w:numFmt w:val="bullet"/>
      <w:lvlText w:val="-"/>
      <w:lvlJc w:val="left"/>
      <w:pPr>
        <w:tabs>
          <w:tab w:val="num" w:pos="5760"/>
        </w:tabs>
        <w:ind w:left="5760" w:hanging="360"/>
      </w:pPr>
      <w:rPr>
        <w:rFonts w:ascii="Lucida Grande" w:hAnsi="Lucida Grande" w:hint="default"/>
      </w:rPr>
    </w:lvl>
    <w:lvl w:ilvl="8" w:tplc="B4F0069C"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442D3F2C"/>
    <w:multiLevelType w:val="hybridMultilevel"/>
    <w:tmpl w:val="58622CD0"/>
    <w:lvl w:ilvl="0" w:tplc="0407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3" w15:restartNumberingAfterBreak="0">
    <w:nsid w:val="46B43B9D"/>
    <w:multiLevelType w:val="hybridMultilevel"/>
    <w:tmpl w:val="555E5562"/>
    <w:lvl w:ilvl="0" w:tplc="1408EB2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4" w15:restartNumberingAfterBreak="0">
    <w:nsid w:val="491C7AD4"/>
    <w:multiLevelType w:val="hybridMultilevel"/>
    <w:tmpl w:val="B3A6553C"/>
    <w:lvl w:ilvl="0" w:tplc="5C0005E4">
      <w:start w:val="1"/>
      <w:numFmt w:val="bullet"/>
      <w:lvlText w:val="-"/>
      <w:lvlJc w:val="left"/>
      <w:pPr>
        <w:tabs>
          <w:tab w:val="num" w:pos="720"/>
        </w:tabs>
        <w:ind w:left="720" w:hanging="360"/>
      </w:pPr>
      <w:rPr>
        <w:rFonts w:ascii="Lucida Grande" w:hAnsi="Lucida Grande" w:hint="default"/>
      </w:rPr>
    </w:lvl>
    <w:lvl w:ilvl="1" w:tplc="7B8C1EC2">
      <w:start w:val="1"/>
      <w:numFmt w:val="bullet"/>
      <w:lvlText w:val="-"/>
      <w:lvlJc w:val="left"/>
      <w:pPr>
        <w:tabs>
          <w:tab w:val="num" w:pos="1440"/>
        </w:tabs>
        <w:ind w:left="1440" w:hanging="360"/>
      </w:pPr>
      <w:rPr>
        <w:rFonts w:ascii="Lucida Grande" w:hAnsi="Lucida Grande" w:hint="default"/>
      </w:rPr>
    </w:lvl>
    <w:lvl w:ilvl="2" w:tplc="69C04CAC" w:tentative="1">
      <w:start w:val="1"/>
      <w:numFmt w:val="bullet"/>
      <w:lvlText w:val="-"/>
      <w:lvlJc w:val="left"/>
      <w:pPr>
        <w:tabs>
          <w:tab w:val="num" w:pos="2160"/>
        </w:tabs>
        <w:ind w:left="2160" w:hanging="360"/>
      </w:pPr>
      <w:rPr>
        <w:rFonts w:ascii="Lucida Grande" w:hAnsi="Lucida Grande" w:hint="default"/>
      </w:rPr>
    </w:lvl>
    <w:lvl w:ilvl="3" w:tplc="E09437C0" w:tentative="1">
      <w:start w:val="1"/>
      <w:numFmt w:val="bullet"/>
      <w:lvlText w:val="-"/>
      <w:lvlJc w:val="left"/>
      <w:pPr>
        <w:tabs>
          <w:tab w:val="num" w:pos="2880"/>
        </w:tabs>
        <w:ind w:left="2880" w:hanging="360"/>
      </w:pPr>
      <w:rPr>
        <w:rFonts w:ascii="Lucida Grande" w:hAnsi="Lucida Grande" w:hint="default"/>
      </w:rPr>
    </w:lvl>
    <w:lvl w:ilvl="4" w:tplc="2D4078DC" w:tentative="1">
      <w:start w:val="1"/>
      <w:numFmt w:val="bullet"/>
      <w:lvlText w:val="-"/>
      <w:lvlJc w:val="left"/>
      <w:pPr>
        <w:tabs>
          <w:tab w:val="num" w:pos="3600"/>
        </w:tabs>
        <w:ind w:left="3600" w:hanging="360"/>
      </w:pPr>
      <w:rPr>
        <w:rFonts w:ascii="Lucida Grande" w:hAnsi="Lucida Grande" w:hint="default"/>
      </w:rPr>
    </w:lvl>
    <w:lvl w:ilvl="5" w:tplc="1E5AC040" w:tentative="1">
      <w:start w:val="1"/>
      <w:numFmt w:val="bullet"/>
      <w:lvlText w:val="-"/>
      <w:lvlJc w:val="left"/>
      <w:pPr>
        <w:tabs>
          <w:tab w:val="num" w:pos="4320"/>
        </w:tabs>
        <w:ind w:left="4320" w:hanging="360"/>
      </w:pPr>
      <w:rPr>
        <w:rFonts w:ascii="Lucida Grande" w:hAnsi="Lucida Grande" w:hint="default"/>
      </w:rPr>
    </w:lvl>
    <w:lvl w:ilvl="6" w:tplc="D0422CFC" w:tentative="1">
      <w:start w:val="1"/>
      <w:numFmt w:val="bullet"/>
      <w:lvlText w:val="-"/>
      <w:lvlJc w:val="left"/>
      <w:pPr>
        <w:tabs>
          <w:tab w:val="num" w:pos="5040"/>
        </w:tabs>
        <w:ind w:left="5040" w:hanging="360"/>
      </w:pPr>
      <w:rPr>
        <w:rFonts w:ascii="Lucida Grande" w:hAnsi="Lucida Grande" w:hint="default"/>
      </w:rPr>
    </w:lvl>
    <w:lvl w:ilvl="7" w:tplc="0862D0AE" w:tentative="1">
      <w:start w:val="1"/>
      <w:numFmt w:val="bullet"/>
      <w:lvlText w:val="-"/>
      <w:lvlJc w:val="left"/>
      <w:pPr>
        <w:tabs>
          <w:tab w:val="num" w:pos="5760"/>
        </w:tabs>
        <w:ind w:left="5760" w:hanging="360"/>
      </w:pPr>
      <w:rPr>
        <w:rFonts w:ascii="Lucida Grande" w:hAnsi="Lucida Grande" w:hint="default"/>
      </w:rPr>
    </w:lvl>
    <w:lvl w:ilvl="8" w:tplc="419203CA"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6" w15:restartNumberingAfterBreak="0">
    <w:nsid w:val="4DA44281"/>
    <w:multiLevelType w:val="hybridMultilevel"/>
    <w:tmpl w:val="C9C624FC"/>
    <w:lvl w:ilvl="0" w:tplc="62BA0A48">
      <w:start w:val="6"/>
      <w:numFmt w:val="decimal"/>
      <w:pStyle w:val="RAN4Proposal0"/>
      <w:lvlText w:val="Proposal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7" w15:restartNumberingAfterBreak="0">
    <w:nsid w:val="4E10722E"/>
    <w:multiLevelType w:val="hybridMultilevel"/>
    <w:tmpl w:val="2410BCA2"/>
    <w:lvl w:ilvl="0" w:tplc="0F3A62BC">
      <w:start w:val="1"/>
      <w:numFmt w:val="bullet"/>
      <w:lvlText w:val="-"/>
      <w:lvlJc w:val="left"/>
      <w:pPr>
        <w:tabs>
          <w:tab w:val="num" w:pos="720"/>
        </w:tabs>
        <w:ind w:left="720" w:hanging="360"/>
      </w:pPr>
      <w:rPr>
        <w:rFonts w:ascii="Lucida Grande" w:hAnsi="Lucida Grande" w:hint="default"/>
      </w:rPr>
    </w:lvl>
    <w:lvl w:ilvl="1" w:tplc="336E5A5A">
      <w:start w:val="1"/>
      <w:numFmt w:val="bullet"/>
      <w:lvlText w:val="-"/>
      <w:lvlJc w:val="left"/>
      <w:pPr>
        <w:tabs>
          <w:tab w:val="num" w:pos="1440"/>
        </w:tabs>
        <w:ind w:left="1440" w:hanging="360"/>
      </w:pPr>
      <w:rPr>
        <w:rFonts w:ascii="Lucida Grande" w:hAnsi="Lucida Grande" w:hint="default"/>
      </w:rPr>
    </w:lvl>
    <w:lvl w:ilvl="2" w:tplc="CAAA79D2" w:tentative="1">
      <w:start w:val="1"/>
      <w:numFmt w:val="bullet"/>
      <w:lvlText w:val="-"/>
      <w:lvlJc w:val="left"/>
      <w:pPr>
        <w:tabs>
          <w:tab w:val="num" w:pos="2160"/>
        </w:tabs>
        <w:ind w:left="2160" w:hanging="360"/>
      </w:pPr>
      <w:rPr>
        <w:rFonts w:ascii="Lucida Grande" w:hAnsi="Lucida Grande" w:hint="default"/>
      </w:rPr>
    </w:lvl>
    <w:lvl w:ilvl="3" w:tplc="FB52009A" w:tentative="1">
      <w:start w:val="1"/>
      <w:numFmt w:val="bullet"/>
      <w:lvlText w:val="-"/>
      <w:lvlJc w:val="left"/>
      <w:pPr>
        <w:tabs>
          <w:tab w:val="num" w:pos="2880"/>
        </w:tabs>
        <w:ind w:left="2880" w:hanging="360"/>
      </w:pPr>
      <w:rPr>
        <w:rFonts w:ascii="Lucida Grande" w:hAnsi="Lucida Grande" w:hint="default"/>
      </w:rPr>
    </w:lvl>
    <w:lvl w:ilvl="4" w:tplc="75F4B63C" w:tentative="1">
      <w:start w:val="1"/>
      <w:numFmt w:val="bullet"/>
      <w:lvlText w:val="-"/>
      <w:lvlJc w:val="left"/>
      <w:pPr>
        <w:tabs>
          <w:tab w:val="num" w:pos="3600"/>
        </w:tabs>
        <w:ind w:left="3600" w:hanging="360"/>
      </w:pPr>
      <w:rPr>
        <w:rFonts w:ascii="Lucida Grande" w:hAnsi="Lucida Grande" w:hint="default"/>
      </w:rPr>
    </w:lvl>
    <w:lvl w:ilvl="5" w:tplc="C78A9A50" w:tentative="1">
      <w:start w:val="1"/>
      <w:numFmt w:val="bullet"/>
      <w:lvlText w:val="-"/>
      <w:lvlJc w:val="left"/>
      <w:pPr>
        <w:tabs>
          <w:tab w:val="num" w:pos="4320"/>
        </w:tabs>
        <w:ind w:left="4320" w:hanging="360"/>
      </w:pPr>
      <w:rPr>
        <w:rFonts w:ascii="Lucida Grande" w:hAnsi="Lucida Grande" w:hint="default"/>
      </w:rPr>
    </w:lvl>
    <w:lvl w:ilvl="6" w:tplc="91D41F24" w:tentative="1">
      <w:start w:val="1"/>
      <w:numFmt w:val="bullet"/>
      <w:lvlText w:val="-"/>
      <w:lvlJc w:val="left"/>
      <w:pPr>
        <w:tabs>
          <w:tab w:val="num" w:pos="5040"/>
        </w:tabs>
        <w:ind w:left="5040" w:hanging="360"/>
      </w:pPr>
      <w:rPr>
        <w:rFonts w:ascii="Lucida Grande" w:hAnsi="Lucida Grande" w:hint="default"/>
      </w:rPr>
    </w:lvl>
    <w:lvl w:ilvl="7" w:tplc="2FFE9B40" w:tentative="1">
      <w:start w:val="1"/>
      <w:numFmt w:val="bullet"/>
      <w:lvlText w:val="-"/>
      <w:lvlJc w:val="left"/>
      <w:pPr>
        <w:tabs>
          <w:tab w:val="num" w:pos="5760"/>
        </w:tabs>
        <w:ind w:left="5760" w:hanging="360"/>
      </w:pPr>
      <w:rPr>
        <w:rFonts w:ascii="Lucida Grande" w:hAnsi="Lucida Grande" w:hint="default"/>
      </w:rPr>
    </w:lvl>
    <w:lvl w:ilvl="8" w:tplc="7CDA4B3C"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5096592A"/>
    <w:multiLevelType w:val="hybridMultilevel"/>
    <w:tmpl w:val="AC326A24"/>
    <w:lvl w:ilvl="0" w:tplc="64E89756">
      <w:start w:val="1"/>
      <w:numFmt w:val="bullet"/>
      <w:lvlText w:val="-"/>
      <w:lvlJc w:val="left"/>
      <w:pPr>
        <w:tabs>
          <w:tab w:val="num" w:pos="720"/>
        </w:tabs>
        <w:ind w:left="720" w:hanging="360"/>
      </w:pPr>
      <w:rPr>
        <w:rFonts w:ascii="Lucida Grande" w:hAnsi="Lucida Grande" w:hint="default"/>
      </w:rPr>
    </w:lvl>
    <w:lvl w:ilvl="1" w:tplc="36386B34">
      <w:start w:val="1"/>
      <w:numFmt w:val="bullet"/>
      <w:lvlText w:val="-"/>
      <w:lvlJc w:val="left"/>
      <w:pPr>
        <w:tabs>
          <w:tab w:val="num" w:pos="1440"/>
        </w:tabs>
        <w:ind w:left="1440" w:hanging="360"/>
      </w:pPr>
      <w:rPr>
        <w:rFonts w:ascii="Lucida Grande" w:hAnsi="Lucida Grande" w:hint="default"/>
      </w:rPr>
    </w:lvl>
    <w:lvl w:ilvl="2" w:tplc="2362E410" w:tentative="1">
      <w:start w:val="1"/>
      <w:numFmt w:val="bullet"/>
      <w:lvlText w:val="-"/>
      <w:lvlJc w:val="left"/>
      <w:pPr>
        <w:tabs>
          <w:tab w:val="num" w:pos="2160"/>
        </w:tabs>
        <w:ind w:left="2160" w:hanging="360"/>
      </w:pPr>
      <w:rPr>
        <w:rFonts w:ascii="Lucida Grande" w:hAnsi="Lucida Grande" w:hint="default"/>
      </w:rPr>
    </w:lvl>
    <w:lvl w:ilvl="3" w:tplc="D552514E" w:tentative="1">
      <w:start w:val="1"/>
      <w:numFmt w:val="bullet"/>
      <w:lvlText w:val="-"/>
      <w:lvlJc w:val="left"/>
      <w:pPr>
        <w:tabs>
          <w:tab w:val="num" w:pos="2880"/>
        </w:tabs>
        <w:ind w:left="2880" w:hanging="360"/>
      </w:pPr>
      <w:rPr>
        <w:rFonts w:ascii="Lucida Grande" w:hAnsi="Lucida Grande" w:hint="default"/>
      </w:rPr>
    </w:lvl>
    <w:lvl w:ilvl="4" w:tplc="ACD03DFE" w:tentative="1">
      <w:start w:val="1"/>
      <w:numFmt w:val="bullet"/>
      <w:lvlText w:val="-"/>
      <w:lvlJc w:val="left"/>
      <w:pPr>
        <w:tabs>
          <w:tab w:val="num" w:pos="3600"/>
        </w:tabs>
        <w:ind w:left="3600" w:hanging="360"/>
      </w:pPr>
      <w:rPr>
        <w:rFonts w:ascii="Lucida Grande" w:hAnsi="Lucida Grande" w:hint="default"/>
      </w:rPr>
    </w:lvl>
    <w:lvl w:ilvl="5" w:tplc="A3E27DC8" w:tentative="1">
      <w:start w:val="1"/>
      <w:numFmt w:val="bullet"/>
      <w:lvlText w:val="-"/>
      <w:lvlJc w:val="left"/>
      <w:pPr>
        <w:tabs>
          <w:tab w:val="num" w:pos="4320"/>
        </w:tabs>
        <w:ind w:left="4320" w:hanging="360"/>
      </w:pPr>
      <w:rPr>
        <w:rFonts w:ascii="Lucida Grande" w:hAnsi="Lucida Grande" w:hint="default"/>
      </w:rPr>
    </w:lvl>
    <w:lvl w:ilvl="6" w:tplc="05E20EC6" w:tentative="1">
      <w:start w:val="1"/>
      <w:numFmt w:val="bullet"/>
      <w:lvlText w:val="-"/>
      <w:lvlJc w:val="left"/>
      <w:pPr>
        <w:tabs>
          <w:tab w:val="num" w:pos="5040"/>
        </w:tabs>
        <w:ind w:left="5040" w:hanging="360"/>
      </w:pPr>
      <w:rPr>
        <w:rFonts w:ascii="Lucida Grande" w:hAnsi="Lucida Grande" w:hint="default"/>
      </w:rPr>
    </w:lvl>
    <w:lvl w:ilvl="7" w:tplc="0548FAF6" w:tentative="1">
      <w:start w:val="1"/>
      <w:numFmt w:val="bullet"/>
      <w:lvlText w:val="-"/>
      <w:lvlJc w:val="left"/>
      <w:pPr>
        <w:tabs>
          <w:tab w:val="num" w:pos="5760"/>
        </w:tabs>
        <w:ind w:left="5760" w:hanging="360"/>
      </w:pPr>
      <w:rPr>
        <w:rFonts w:ascii="Lucida Grande" w:hAnsi="Lucida Grande" w:hint="default"/>
      </w:rPr>
    </w:lvl>
    <w:lvl w:ilvl="8" w:tplc="4D24EEF4"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F513E0"/>
    <w:multiLevelType w:val="hybridMultilevel"/>
    <w:tmpl w:val="7520DA9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002C9"/>
    <w:multiLevelType w:val="hybridMultilevel"/>
    <w:tmpl w:val="EB84D26A"/>
    <w:lvl w:ilvl="0" w:tplc="ACDAA0E0">
      <w:start w:val="1"/>
      <w:numFmt w:val="bullet"/>
      <w:lvlText w:val="-"/>
      <w:lvlJc w:val="left"/>
      <w:pPr>
        <w:tabs>
          <w:tab w:val="num" w:pos="720"/>
        </w:tabs>
        <w:ind w:left="720" w:hanging="360"/>
      </w:pPr>
      <w:rPr>
        <w:rFonts w:ascii="Lucida Grande" w:hAnsi="Lucida Grande" w:hint="default"/>
      </w:rPr>
    </w:lvl>
    <w:lvl w:ilvl="1" w:tplc="310E53AA">
      <w:start w:val="1"/>
      <w:numFmt w:val="bullet"/>
      <w:lvlText w:val="-"/>
      <w:lvlJc w:val="left"/>
      <w:pPr>
        <w:tabs>
          <w:tab w:val="num" w:pos="1440"/>
        </w:tabs>
        <w:ind w:left="1440" w:hanging="360"/>
      </w:pPr>
      <w:rPr>
        <w:rFonts w:ascii="Lucida Grande" w:hAnsi="Lucida Grande" w:hint="default"/>
      </w:rPr>
    </w:lvl>
    <w:lvl w:ilvl="2" w:tplc="0BDEA04E" w:tentative="1">
      <w:start w:val="1"/>
      <w:numFmt w:val="bullet"/>
      <w:lvlText w:val="-"/>
      <w:lvlJc w:val="left"/>
      <w:pPr>
        <w:tabs>
          <w:tab w:val="num" w:pos="2160"/>
        </w:tabs>
        <w:ind w:left="2160" w:hanging="360"/>
      </w:pPr>
      <w:rPr>
        <w:rFonts w:ascii="Lucida Grande" w:hAnsi="Lucida Grande" w:hint="default"/>
      </w:rPr>
    </w:lvl>
    <w:lvl w:ilvl="3" w:tplc="6F544CFC" w:tentative="1">
      <w:start w:val="1"/>
      <w:numFmt w:val="bullet"/>
      <w:lvlText w:val="-"/>
      <w:lvlJc w:val="left"/>
      <w:pPr>
        <w:tabs>
          <w:tab w:val="num" w:pos="2880"/>
        </w:tabs>
        <w:ind w:left="2880" w:hanging="360"/>
      </w:pPr>
      <w:rPr>
        <w:rFonts w:ascii="Lucida Grande" w:hAnsi="Lucida Grande" w:hint="default"/>
      </w:rPr>
    </w:lvl>
    <w:lvl w:ilvl="4" w:tplc="C5E80218" w:tentative="1">
      <w:start w:val="1"/>
      <w:numFmt w:val="bullet"/>
      <w:lvlText w:val="-"/>
      <w:lvlJc w:val="left"/>
      <w:pPr>
        <w:tabs>
          <w:tab w:val="num" w:pos="3600"/>
        </w:tabs>
        <w:ind w:left="3600" w:hanging="360"/>
      </w:pPr>
      <w:rPr>
        <w:rFonts w:ascii="Lucida Grande" w:hAnsi="Lucida Grande" w:hint="default"/>
      </w:rPr>
    </w:lvl>
    <w:lvl w:ilvl="5" w:tplc="ACD271AA" w:tentative="1">
      <w:start w:val="1"/>
      <w:numFmt w:val="bullet"/>
      <w:lvlText w:val="-"/>
      <w:lvlJc w:val="left"/>
      <w:pPr>
        <w:tabs>
          <w:tab w:val="num" w:pos="4320"/>
        </w:tabs>
        <w:ind w:left="4320" w:hanging="360"/>
      </w:pPr>
      <w:rPr>
        <w:rFonts w:ascii="Lucida Grande" w:hAnsi="Lucida Grande" w:hint="default"/>
      </w:rPr>
    </w:lvl>
    <w:lvl w:ilvl="6" w:tplc="2632A18C" w:tentative="1">
      <w:start w:val="1"/>
      <w:numFmt w:val="bullet"/>
      <w:lvlText w:val="-"/>
      <w:lvlJc w:val="left"/>
      <w:pPr>
        <w:tabs>
          <w:tab w:val="num" w:pos="5040"/>
        </w:tabs>
        <w:ind w:left="5040" w:hanging="360"/>
      </w:pPr>
      <w:rPr>
        <w:rFonts w:ascii="Lucida Grande" w:hAnsi="Lucida Grande" w:hint="default"/>
      </w:rPr>
    </w:lvl>
    <w:lvl w:ilvl="7" w:tplc="E2D6B17A" w:tentative="1">
      <w:start w:val="1"/>
      <w:numFmt w:val="bullet"/>
      <w:lvlText w:val="-"/>
      <w:lvlJc w:val="left"/>
      <w:pPr>
        <w:tabs>
          <w:tab w:val="num" w:pos="5760"/>
        </w:tabs>
        <w:ind w:left="5760" w:hanging="360"/>
      </w:pPr>
      <w:rPr>
        <w:rFonts w:ascii="Lucida Grande" w:hAnsi="Lucida Grande" w:hint="default"/>
      </w:rPr>
    </w:lvl>
    <w:lvl w:ilvl="8" w:tplc="379A609C"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652F0A00"/>
    <w:multiLevelType w:val="hybridMultilevel"/>
    <w:tmpl w:val="B5D2DB4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13405D"/>
    <w:multiLevelType w:val="hybridMultilevel"/>
    <w:tmpl w:val="088082BC"/>
    <w:lvl w:ilvl="0" w:tplc="D3505372">
      <w:start w:val="1"/>
      <w:numFmt w:val="bullet"/>
      <w:lvlText w:val="-"/>
      <w:lvlJc w:val="left"/>
      <w:pPr>
        <w:tabs>
          <w:tab w:val="num" w:pos="720"/>
        </w:tabs>
        <w:ind w:left="720" w:hanging="360"/>
      </w:pPr>
      <w:rPr>
        <w:rFonts w:ascii="Lucida Grande" w:hAnsi="Lucida Grande" w:hint="default"/>
      </w:rPr>
    </w:lvl>
    <w:lvl w:ilvl="1" w:tplc="A1920D32">
      <w:start w:val="1"/>
      <w:numFmt w:val="bullet"/>
      <w:lvlText w:val="-"/>
      <w:lvlJc w:val="left"/>
      <w:pPr>
        <w:tabs>
          <w:tab w:val="num" w:pos="1440"/>
        </w:tabs>
        <w:ind w:left="1440" w:hanging="360"/>
      </w:pPr>
      <w:rPr>
        <w:rFonts w:ascii="Lucida Grande" w:hAnsi="Lucida Grande" w:hint="default"/>
      </w:rPr>
    </w:lvl>
    <w:lvl w:ilvl="2" w:tplc="A47CBB10" w:tentative="1">
      <w:start w:val="1"/>
      <w:numFmt w:val="bullet"/>
      <w:lvlText w:val="-"/>
      <w:lvlJc w:val="left"/>
      <w:pPr>
        <w:tabs>
          <w:tab w:val="num" w:pos="2160"/>
        </w:tabs>
        <w:ind w:left="2160" w:hanging="360"/>
      </w:pPr>
      <w:rPr>
        <w:rFonts w:ascii="Lucida Grande" w:hAnsi="Lucida Grande" w:hint="default"/>
      </w:rPr>
    </w:lvl>
    <w:lvl w:ilvl="3" w:tplc="FAEE2FD8" w:tentative="1">
      <w:start w:val="1"/>
      <w:numFmt w:val="bullet"/>
      <w:lvlText w:val="-"/>
      <w:lvlJc w:val="left"/>
      <w:pPr>
        <w:tabs>
          <w:tab w:val="num" w:pos="2880"/>
        </w:tabs>
        <w:ind w:left="2880" w:hanging="360"/>
      </w:pPr>
      <w:rPr>
        <w:rFonts w:ascii="Lucida Grande" w:hAnsi="Lucida Grande" w:hint="default"/>
      </w:rPr>
    </w:lvl>
    <w:lvl w:ilvl="4" w:tplc="CBE821BA" w:tentative="1">
      <w:start w:val="1"/>
      <w:numFmt w:val="bullet"/>
      <w:lvlText w:val="-"/>
      <w:lvlJc w:val="left"/>
      <w:pPr>
        <w:tabs>
          <w:tab w:val="num" w:pos="3600"/>
        </w:tabs>
        <w:ind w:left="3600" w:hanging="360"/>
      </w:pPr>
      <w:rPr>
        <w:rFonts w:ascii="Lucida Grande" w:hAnsi="Lucida Grande" w:hint="default"/>
      </w:rPr>
    </w:lvl>
    <w:lvl w:ilvl="5" w:tplc="1F0C973C" w:tentative="1">
      <w:start w:val="1"/>
      <w:numFmt w:val="bullet"/>
      <w:lvlText w:val="-"/>
      <w:lvlJc w:val="left"/>
      <w:pPr>
        <w:tabs>
          <w:tab w:val="num" w:pos="4320"/>
        </w:tabs>
        <w:ind w:left="4320" w:hanging="360"/>
      </w:pPr>
      <w:rPr>
        <w:rFonts w:ascii="Lucida Grande" w:hAnsi="Lucida Grande" w:hint="default"/>
      </w:rPr>
    </w:lvl>
    <w:lvl w:ilvl="6" w:tplc="5F326C16" w:tentative="1">
      <w:start w:val="1"/>
      <w:numFmt w:val="bullet"/>
      <w:lvlText w:val="-"/>
      <w:lvlJc w:val="left"/>
      <w:pPr>
        <w:tabs>
          <w:tab w:val="num" w:pos="5040"/>
        </w:tabs>
        <w:ind w:left="5040" w:hanging="360"/>
      </w:pPr>
      <w:rPr>
        <w:rFonts w:ascii="Lucida Grande" w:hAnsi="Lucida Grande" w:hint="default"/>
      </w:rPr>
    </w:lvl>
    <w:lvl w:ilvl="7" w:tplc="EF8C8426" w:tentative="1">
      <w:start w:val="1"/>
      <w:numFmt w:val="bullet"/>
      <w:lvlText w:val="-"/>
      <w:lvlJc w:val="left"/>
      <w:pPr>
        <w:tabs>
          <w:tab w:val="num" w:pos="5760"/>
        </w:tabs>
        <w:ind w:left="5760" w:hanging="360"/>
      </w:pPr>
      <w:rPr>
        <w:rFonts w:ascii="Lucida Grande" w:hAnsi="Lucida Grande" w:hint="default"/>
      </w:rPr>
    </w:lvl>
    <w:lvl w:ilvl="8" w:tplc="232A4BD2" w:tentative="1">
      <w:start w:val="1"/>
      <w:numFmt w:val="bullet"/>
      <w:lvlText w:val="-"/>
      <w:lvlJc w:val="left"/>
      <w:pPr>
        <w:tabs>
          <w:tab w:val="num" w:pos="6480"/>
        </w:tabs>
        <w:ind w:left="6480" w:hanging="360"/>
      </w:pPr>
      <w:rPr>
        <w:rFonts w:ascii="Lucida Grande" w:hAnsi="Lucida Grande" w:hint="default"/>
      </w:rPr>
    </w:lvl>
  </w:abstractNum>
  <w:abstractNum w:abstractNumId="26" w15:restartNumberingAfterBreak="0">
    <w:nsid w:val="6EAE5B2F"/>
    <w:multiLevelType w:val="hybridMultilevel"/>
    <w:tmpl w:val="E6166CC2"/>
    <w:lvl w:ilvl="0" w:tplc="C026EA7A">
      <w:start w:val="1"/>
      <w:numFmt w:val="bullet"/>
      <w:lvlText w:val="-"/>
      <w:lvlJc w:val="left"/>
      <w:pPr>
        <w:tabs>
          <w:tab w:val="num" w:pos="720"/>
        </w:tabs>
        <w:ind w:left="720" w:hanging="360"/>
      </w:pPr>
      <w:rPr>
        <w:rFonts w:ascii="Lucida Grande" w:hAnsi="Lucida Grande" w:hint="default"/>
      </w:rPr>
    </w:lvl>
    <w:lvl w:ilvl="1" w:tplc="1242B756">
      <w:start w:val="1"/>
      <w:numFmt w:val="bullet"/>
      <w:lvlText w:val="-"/>
      <w:lvlJc w:val="left"/>
      <w:pPr>
        <w:tabs>
          <w:tab w:val="num" w:pos="1440"/>
        </w:tabs>
        <w:ind w:left="1440" w:hanging="360"/>
      </w:pPr>
      <w:rPr>
        <w:rFonts w:ascii="Lucida Grande" w:hAnsi="Lucida Grande" w:hint="default"/>
      </w:rPr>
    </w:lvl>
    <w:lvl w:ilvl="2" w:tplc="F62CA592" w:tentative="1">
      <w:start w:val="1"/>
      <w:numFmt w:val="bullet"/>
      <w:lvlText w:val="-"/>
      <w:lvlJc w:val="left"/>
      <w:pPr>
        <w:tabs>
          <w:tab w:val="num" w:pos="2160"/>
        </w:tabs>
        <w:ind w:left="2160" w:hanging="360"/>
      </w:pPr>
      <w:rPr>
        <w:rFonts w:ascii="Lucida Grande" w:hAnsi="Lucida Grande" w:hint="default"/>
      </w:rPr>
    </w:lvl>
    <w:lvl w:ilvl="3" w:tplc="6F101AB2" w:tentative="1">
      <w:start w:val="1"/>
      <w:numFmt w:val="bullet"/>
      <w:lvlText w:val="-"/>
      <w:lvlJc w:val="left"/>
      <w:pPr>
        <w:tabs>
          <w:tab w:val="num" w:pos="2880"/>
        </w:tabs>
        <w:ind w:left="2880" w:hanging="360"/>
      </w:pPr>
      <w:rPr>
        <w:rFonts w:ascii="Lucida Grande" w:hAnsi="Lucida Grande" w:hint="default"/>
      </w:rPr>
    </w:lvl>
    <w:lvl w:ilvl="4" w:tplc="70D06848" w:tentative="1">
      <w:start w:val="1"/>
      <w:numFmt w:val="bullet"/>
      <w:lvlText w:val="-"/>
      <w:lvlJc w:val="left"/>
      <w:pPr>
        <w:tabs>
          <w:tab w:val="num" w:pos="3600"/>
        </w:tabs>
        <w:ind w:left="3600" w:hanging="360"/>
      </w:pPr>
      <w:rPr>
        <w:rFonts w:ascii="Lucida Grande" w:hAnsi="Lucida Grande" w:hint="default"/>
      </w:rPr>
    </w:lvl>
    <w:lvl w:ilvl="5" w:tplc="1BF62EC8" w:tentative="1">
      <w:start w:val="1"/>
      <w:numFmt w:val="bullet"/>
      <w:lvlText w:val="-"/>
      <w:lvlJc w:val="left"/>
      <w:pPr>
        <w:tabs>
          <w:tab w:val="num" w:pos="4320"/>
        </w:tabs>
        <w:ind w:left="4320" w:hanging="360"/>
      </w:pPr>
      <w:rPr>
        <w:rFonts w:ascii="Lucida Grande" w:hAnsi="Lucida Grande" w:hint="default"/>
      </w:rPr>
    </w:lvl>
    <w:lvl w:ilvl="6" w:tplc="37CA9128" w:tentative="1">
      <w:start w:val="1"/>
      <w:numFmt w:val="bullet"/>
      <w:lvlText w:val="-"/>
      <w:lvlJc w:val="left"/>
      <w:pPr>
        <w:tabs>
          <w:tab w:val="num" w:pos="5040"/>
        </w:tabs>
        <w:ind w:left="5040" w:hanging="360"/>
      </w:pPr>
      <w:rPr>
        <w:rFonts w:ascii="Lucida Grande" w:hAnsi="Lucida Grande" w:hint="default"/>
      </w:rPr>
    </w:lvl>
    <w:lvl w:ilvl="7" w:tplc="4BDA4A84" w:tentative="1">
      <w:start w:val="1"/>
      <w:numFmt w:val="bullet"/>
      <w:lvlText w:val="-"/>
      <w:lvlJc w:val="left"/>
      <w:pPr>
        <w:tabs>
          <w:tab w:val="num" w:pos="5760"/>
        </w:tabs>
        <w:ind w:left="5760" w:hanging="360"/>
      </w:pPr>
      <w:rPr>
        <w:rFonts w:ascii="Lucida Grande" w:hAnsi="Lucida Grande" w:hint="default"/>
      </w:rPr>
    </w:lvl>
    <w:lvl w:ilvl="8" w:tplc="2F206F48" w:tentative="1">
      <w:start w:val="1"/>
      <w:numFmt w:val="bullet"/>
      <w:lvlText w:val="-"/>
      <w:lvlJc w:val="left"/>
      <w:pPr>
        <w:tabs>
          <w:tab w:val="num" w:pos="6480"/>
        </w:tabs>
        <w:ind w:left="6480" w:hanging="360"/>
      </w:pPr>
      <w:rPr>
        <w:rFonts w:ascii="Lucida Grande" w:hAnsi="Lucida Grande" w:hint="default"/>
      </w:rPr>
    </w:lvl>
  </w:abstractNum>
  <w:abstractNum w:abstractNumId="2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16"/>
  </w:num>
  <w:num w:numId="3">
    <w:abstractNumId w:val="13"/>
  </w:num>
  <w:num w:numId="4">
    <w:abstractNumId w:val="15"/>
  </w:num>
  <w:num w:numId="5">
    <w:abstractNumId w:val="23"/>
  </w:num>
  <w:num w:numId="6">
    <w:abstractNumId w:val="16"/>
    <w:lvlOverride w:ilvl="0">
      <w:startOverride w:val="1"/>
    </w:lvlOverride>
  </w:num>
  <w:num w:numId="7">
    <w:abstractNumId w:val="7"/>
  </w:num>
  <w:num w:numId="8">
    <w:abstractNumId w:val="5"/>
  </w:num>
  <w:num w:numId="9">
    <w:abstractNumId w:val="6"/>
  </w:num>
  <w:num w:numId="10">
    <w:abstractNumId w:val="2"/>
  </w:num>
  <w:num w:numId="11">
    <w:abstractNumId w:val="9"/>
  </w:num>
  <w:num w:numId="12">
    <w:abstractNumId w:val="0"/>
    <w:lvlOverride w:ilvl="0">
      <w:lvl w:ilvl="0">
        <w:numFmt w:val="bullet"/>
        <w:lvlText w:val="•"/>
        <w:legacy w:legacy="1" w:legacySpace="0" w:legacyIndent="0"/>
        <w:lvlJc w:val="left"/>
        <w:rPr>
          <w:rFonts w:ascii="Arial" w:hAnsi="Arial" w:cs="Arial" w:hint="default"/>
          <w:sz w:val="28"/>
        </w:rPr>
      </w:lvl>
    </w:lvlOverride>
  </w:num>
  <w:num w:numId="13">
    <w:abstractNumId w:val="0"/>
    <w:lvlOverride w:ilvl="0">
      <w:lvl w:ilvl="0">
        <w:numFmt w:val="bullet"/>
        <w:lvlText w:val="-"/>
        <w:legacy w:legacy="1" w:legacySpace="0" w:legacyIndent="0"/>
        <w:lvlJc w:val="left"/>
        <w:rPr>
          <w:rFonts w:ascii="Lucida Grande" w:hAnsi="Lucida Grande" w:hint="default"/>
          <w:sz w:val="26"/>
        </w:rPr>
      </w:lvl>
    </w:lvlOverride>
  </w:num>
  <w:num w:numId="14">
    <w:abstractNumId w:val="0"/>
    <w:lvlOverride w:ilvl="0">
      <w:lvl w:ilvl="0">
        <w:numFmt w:val="bullet"/>
        <w:lvlText w:val="•"/>
        <w:legacy w:legacy="1" w:legacySpace="0" w:legacyIndent="0"/>
        <w:lvlJc w:val="left"/>
        <w:rPr>
          <w:rFonts w:ascii="Arial" w:hAnsi="Arial" w:cs="Arial" w:hint="default"/>
          <w:sz w:val="22"/>
        </w:rPr>
      </w:lvl>
    </w:lvlOverride>
  </w:num>
  <w:num w:numId="15">
    <w:abstractNumId w:val="10"/>
  </w:num>
  <w:num w:numId="16">
    <w:abstractNumId w:val="3"/>
  </w:num>
  <w:num w:numId="17">
    <w:abstractNumId w:val="20"/>
  </w:num>
  <w:num w:numId="18">
    <w:abstractNumId w:val="22"/>
  </w:num>
  <w:num w:numId="19">
    <w:abstractNumId w:val="19"/>
  </w:num>
  <w:num w:numId="20">
    <w:abstractNumId w:val="27"/>
  </w:num>
  <w:num w:numId="21">
    <w:abstractNumId w:val="8"/>
  </w:num>
  <w:num w:numId="22">
    <w:abstractNumId w:val="27"/>
  </w:num>
  <w:num w:numId="23">
    <w:abstractNumId w:val="8"/>
  </w:num>
  <w:num w:numId="24">
    <w:abstractNumId w:val="25"/>
  </w:num>
  <w:num w:numId="25">
    <w:abstractNumId w:val="14"/>
  </w:num>
  <w:num w:numId="26">
    <w:abstractNumId w:val="21"/>
  </w:num>
  <w:num w:numId="27">
    <w:abstractNumId w:val="4"/>
  </w:num>
  <w:num w:numId="28">
    <w:abstractNumId w:val="18"/>
  </w:num>
  <w:num w:numId="29">
    <w:abstractNumId w:val="26"/>
  </w:num>
  <w:num w:numId="30">
    <w:abstractNumId w:val="17"/>
  </w:num>
  <w:num w:numId="31">
    <w:abstractNumId w:val="12"/>
  </w:num>
  <w:num w:numId="32">
    <w:abstractNumId w:val="11"/>
  </w:num>
  <w:num w:numId="33">
    <w:abstractNumId w:val="24"/>
  </w:num>
  <w:num w:numId="34">
    <w:abstractNumId w:val="24"/>
  </w:num>
  <w:num w:numId="35">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74"/>
    <w:rsid w:val="00001C9B"/>
    <w:rsid w:val="00023724"/>
    <w:rsid w:val="00027B44"/>
    <w:rsid w:val="00031DF5"/>
    <w:rsid w:val="00034A70"/>
    <w:rsid w:val="00041055"/>
    <w:rsid w:val="00045978"/>
    <w:rsid w:val="00056D7C"/>
    <w:rsid w:val="00057DD9"/>
    <w:rsid w:val="00062CF3"/>
    <w:rsid w:val="000638A1"/>
    <w:rsid w:val="000702FD"/>
    <w:rsid w:val="000751B0"/>
    <w:rsid w:val="0008612A"/>
    <w:rsid w:val="00090FCF"/>
    <w:rsid w:val="00093CAE"/>
    <w:rsid w:val="000A6BD1"/>
    <w:rsid w:val="000B0056"/>
    <w:rsid w:val="000B3D00"/>
    <w:rsid w:val="000B65EA"/>
    <w:rsid w:val="000C7DCF"/>
    <w:rsid w:val="000E0942"/>
    <w:rsid w:val="000E0B6B"/>
    <w:rsid w:val="000F1779"/>
    <w:rsid w:val="000F2046"/>
    <w:rsid w:val="000F2970"/>
    <w:rsid w:val="000F31E7"/>
    <w:rsid w:val="000F478D"/>
    <w:rsid w:val="00101DA5"/>
    <w:rsid w:val="0010349B"/>
    <w:rsid w:val="00105411"/>
    <w:rsid w:val="001062CE"/>
    <w:rsid w:val="00112458"/>
    <w:rsid w:val="00117333"/>
    <w:rsid w:val="00121F6C"/>
    <w:rsid w:val="00124385"/>
    <w:rsid w:val="00132975"/>
    <w:rsid w:val="00142634"/>
    <w:rsid w:val="00144744"/>
    <w:rsid w:val="0015301C"/>
    <w:rsid w:val="00161971"/>
    <w:rsid w:val="001639F7"/>
    <w:rsid w:val="0016654B"/>
    <w:rsid w:val="001740CA"/>
    <w:rsid w:val="001745F8"/>
    <w:rsid w:val="0017529D"/>
    <w:rsid w:val="00176671"/>
    <w:rsid w:val="001838CF"/>
    <w:rsid w:val="00185B8D"/>
    <w:rsid w:val="001B3026"/>
    <w:rsid w:val="001B3816"/>
    <w:rsid w:val="001B3F6C"/>
    <w:rsid w:val="001B7DA7"/>
    <w:rsid w:val="001C2F6D"/>
    <w:rsid w:val="001C57A7"/>
    <w:rsid w:val="001D58BC"/>
    <w:rsid w:val="001E30F6"/>
    <w:rsid w:val="001E4134"/>
    <w:rsid w:val="001E53C7"/>
    <w:rsid w:val="001F262F"/>
    <w:rsid w:val="001F3B31"/>
    <w:rsid w:val="00201528"/>
    <w:rsid w:val="00201902"/>
    <w:rsid w:val="00204029"/>
    <w:rsid w:val="00213F01"/>
    <w:rsid w:val="00231014"/>
    <w:rsid w:val="002336B9"/>
    <w:rsid w:val="002356C0"/>
    <w:rsid w:val="00235F5C"/>
    <w:rsid w:val="00247EEE"/>
    <w:rsid w:val="00254A7B"/>
    <w:rsid w:val="002573B5"/>
    <w:rsid w:val="00262F25"/>
    <w:rsid w:val="002631D7"/>
    <w:rsid w:val="00270159"/>
    <w:rsid w:val="0027038C"/>
    <w:rsid w:val="002749B7"/>
    <w:rsid w:val="00276515"/>
    <w:rsid w:val="002943F4"/>
    <w:rsid w:val="00295A66"/>
    <w:rsid w:val="00296FE3"/>
    <w:rsid w:val="002A0DEC"/>
    <w:rsid w:val="002B0173"/>
    <w:rsid w:val="002B138D"/>
    <w:rsid w:val="002B4922"/>
    <w:rsid w:val="002C1837"/>
    <w:rsid w:val="002C2D19"/>
    <w:rsid w:val="002D0B7E"/>
    <w:rsid w:val="002D1080"/>
    <w:rsid w:val="002D10FA"/>
    <w:rsid w:val="002D38D1"/>
    <w:rsid w:val="002D4C55"/>
    <w:rsid w:val="002E2420"/>
    <w:rsid w:val="002F0834"/>
    <w:rsid w:val="00302745"/>
    <w:rsid w:val="00302991"/>
    <w:rsid w:val="00303554"/>
    <w:rsid w:val="00306E3B"/>
    <w:rsid w:val="00307914"/>
    <w:rsid w:val="0030793F"/>
    <w:rsid w:val="00314967"/>
    <w:rsid w:val="00326218"/>
    <w:rsid w:val="003339B2"/>
    <w:rsid w:val="00333A74"/>
    <w:rsid w:val="0033542F"/>
    <w:rsid w:val="00344DE4"/>
    <w:rsid w:val="00351CB5"/>
    <w:rsid w:val="00352C2F"/>
    <w:rsid w:val="00353235"/>
    <w:rsid w:val="00361A17"/>
    <w:rsid w:val="00363C81"/>
    <w:rsid w:val="00365F9A"/>
    <w:rsid w:val="003776DA"/>
    <w:rsid w:val="00382F3B"/>
    <w:rsid w:val="0038313D"/>
    <w:rsid w:val="00384E2B"/>
    <w:rsid w:val="0038648B"/>
    <w:rsid w:val="00393152"/>
    <w:rsid w:val="00393E01"/>
    <w:rsid w:val="00395114"/>
    <w:rsid w:val="00397BC2"/>
    <w:rsid w:val="00397E3F"/>
    <w:rsid w:val="003A058C"/>
    <w:rsid w:val="003A212A"/>
    <w:rsid w:val="003A213F"/>
    <w:rsid w:val="003A783E"/>
    <w:rsid w:val="003B659E"/>
    <w:rsid w:val="003C14A3"/>
    <w:rsid w:val="003C5A4D"/>
    <w:rsid w:val="003C7452"/>
    <w:rsid w:val="003C78BD"/>
    <w:rsid w:val="003E031E"/>
    <w:rsid w:val="003E1D03"/>
    <w:rsid w:val="003E2D49"/>
    <w:rsid w:val="003F2C39"/>
    <w:rsid w:val="003F71E7"/>
    <w:rsid w:val="00402149"/>
    <w:rsid w:val="004048FA"/>
    <w:rsid w:val="0040531F"/>
    <w:rsid w:val="004055EC"/>
    <w:rsid w:val="00417AA0"/>
    <w:rsid w:val="00433683"/>
    <w:rsid w:val="0043560C"/>
    <w:rsid w:val="0043750A"/>
    <w:rsid w:val="00443FE2"/>
    <w:rsid w:val="004449E8"/>
    <w:rsid w:val="00447331"/>
    <w:rsid w:val="00452529"/>
    <w:rsid w:val="00461355"/>
    <w:rsid w:val="0046277A"/>
    <w:rsid w:val="00467FE1"/>
    <w:rsid w:val="00480EBB"/>
    <w:rsid w:val="004869B2"/>
    <w:rsid w:val="00487CA3"/>
    <w:rsid w:val="0049229C"/>
    <w:rsid w:val="00494965"/>
    <w:rsid w:val="004A6FFC"/>
    <w:rsid w:val="004A755A"/>
    <w:rsid w:val="004B4F3D"/>
    <w:rsid w:val="004B7B4A"/>
    <w:rsid w:val="004C6282"/>
    <w:rsid w:val="004D3149"/>
    <w:rsid w:val="004D3575"/>
    <w:rsid w:val="004E006D"/>
    <w:rsid w:val="004E0CDE"/>
    <w:rsid w:val="004E10C1"/>
    <w:rsid w:val="004E3392"/>
    <w:rsid w:val="004E46CD"/>
    <w:rsid w:val="004E5E66"/>
    <w:rsid w:val="004E61E5"/>
    <w:rsid w:val="004F35BC"/>
    <w:rsid w:val="00500A48"/>
    <w:rsid w:val="00503B4D"/>
    <w:rsid w:val="00504EE9"/>
    <w:rsid w:val="00505BBB"/>
    <w:rsid w:val="00506A3E"/>
    <w:rsid w:val="005130EB"/>
    <w:rsid w:val="0051424B"/>
    <w:rsid w:val="0051606A"/>
    <w:rsid w:val="00543EEF"/>
    <w:rsid w:val="0054442C"/>
    <w:rsid w:val="00547F6D"/>
    <w:rsid w:val="00550285"/>
    <w:rsid w:val="005813D1"/>
    <w:rsid w:val="00582FFD"/>
    <w:rsid w:val="005836F8"/>
    <w:rsid w:val="005918FA"/>
    <w:rsid w:val="005A1FF2"/>
    <w:rsid w:val="005A5248"/>
    <w:rsid w:val="005A6BB5"/>
    <w:rsid w:val="005C240E"/>
    <w:rsid w:val="005C7506"/>
    <w:rsid w:val="005D4B8B"/>
    <w:rsid w:val="005D4F5B"/>
    <w:rsid w:val="005E0A4F"/>
    <w:rsid w:val="005E61A8"/>
    <w:rsid w:val="005E682B"/>
    <w:rsid w:val="005E6856"/>
    <w:rsid w:val="005F6262"/>
    <w:rsid w:val="005F6419"/>
    <w:rsid w:val="00612A50"/>
    <w:rsid w:val="00617400"/>
    <w:rsid w:val="00634966"/>
    <w:rsid w:val="00635472"/>
    <w:rsid w:val="00643C03"/>
    <w:rsid w:val="006446D6"/>
    <w:rsid w:val="00646CBB"/>
    <w:rsid w:val="00646E90"/>
    <w:rsid w:val="00650D75"/>
    <w:rsid w:val="006523F4"/>
    <w:rsid w:val="00652A49"/>
    <w:rsid w:val="00653527"/>
    <w:rsid w:val="00653C78"/>
    <w:rsid w:val="0065745C"/>
    <w:rsid w:val="00664950"/>
    <w:rsid w:val="00670C32"/>
    <w:rsid w:val="00683220"/>
    <w:rsid w:val="00687FA0"/>
    <w:rsid w:val="00690E30"/>
    <w:rsid w:val="00693280"/>
    <w:rsid w:val="006A05A0"/>
    <w:rsid w:val="006A1817"/>
    <w:rsid w:val="006A28D0"/>
    <w:rsid w:val="006A3C85"/>
    <w:rsid w:val="006A3D93"/>
    <w:rsid w:val="006B48F8"/>
    <w:rsid w:val="006B5946"/>
    <w:rsid w:val="006B7010"/>
    <w:rsid w:val="006B7935"/>
    <w:rsid w:val="006D3C2D"/>
    <w:rsid w:val="006D5381"/>
    <w:rsid w:val="006D62E6"/>
    <w:rsid w:val="006D71ED"/>
    <w:rsid w:val="006E3700"/>
    <w:rsid w:val="006F177C"/>
    <w:rsid w:val="006F28AC"/>
    <w:rsid w:val="006F3930"/>
    <w:rsid w:val="006F53EC"/>
    <w:rsid w:val="00702310"/>
    <w:rsid w:val="00707969"/>
    <w:rsid w:val="007124AC"/>
    <w:rsid w:val="007145FF"/>
    <w:rsid w:val="007155D6"/>
    <w:rsid w:val="00716A73"/>
    <w:rsid w:val="00721FEB"/>
    <w:rsid w:val="007261C1"/>
    <w:rsid w:val="007269DC"/>
    <w:rsid w:val="007318B5"/>
    <w:rsid w:val="007428C7"/>
    <w:rsid w:val="00745380"/>
    <w:rsid w:val="00750509"/>
    <w:rsid w:val="0075056B"/>
    <w:rsid w:val="00751515"/>
    <w:rsid w:val="00752213"/>
    <w:rsid w:val="007646C9"/>
    <w:rsid w:val="007657EE"/>
    <w:rsid w:val="00766686"/>
    <w:rsid w:val="00777079"/>
    <w:rsid w:val="00781970"/>
    <w:rsid w:val="00785232"/>
    <w:rsid w:val="007A0F79"/>
    <w:rsid w:val="007A106B"/>
    <w:rsid w:val="007B2731"/>
    <w:rsid w:val="007B4107"/>
    <w:rsid w:val="007C2ACA"/>
    <w:rsid w:val="007C312C"/>
    <w:rsid w:val="007C3ED0"/>
    <w:rsid w:val="007D6FC5"/>
    <w:rsid w:val="007E448E"/>
    <w:rsid w:val="007F3BE0"/>
    <w:rsid w:val="007F4295"/>
    <w:rsid w:val="00803CAF"/>
    <w:rsid w:val="008040F5"/>
    <w:rsid w:val="008050F6"/>
    <w:rsid w:val="00806A76"/>
    <w:rsid w:val="00810316"/>
    <w:rsid w:val="00811C9D"/>
    <w:rsid w:val="00812FCB"/>
    <w:rsid w:val="00816BFE"/>
    <w:rsid w:val="00816C80"/>
    <w:rsid w:val="00820121"/>
    <w:rsid w:val="00820E98"/>
    <w:rsid w:val="0082713C"/>
    <w:rsid w:val="0083294E"/>
    <w:rsid w:val="00837A3F"/>
    <w:rsid w:val="0084126C"/>
    <w:rsid w:val="00841BCD"/>
    <w:rsid w:val="00841CBB"/>
    <w:rsid w:val="008442FE"/>
    <w:rsid w:val="00850463"/>
    <w:rsid w:val="008638A7"/>
    <w:rsid w:val="00870E7C"/>
    <w:rsid w:val="008826C1"/>
    <w:rsid w:val="00886A33"/>
    <w:rsid w:val="0089007F"/>
    <w:rsid w:val="00890D3E"/>
    <w:rsid w:val="00891A69"/>
    <w:rsid w:val="00895DD3"/>
    <w:rsid w:val="00895F5E"/>
    <w:rsid w:val="008A0A95"/>
    <w:rsid w:val="008A1122"/>
    <w:rsid w:val="008A356A"/>
    <w:rsid w:val="008D2EB2"/>
    <w:rsid w:val="008D3111"/>
    <w:rsid w:val="008D5C31"/>
    <w:rsid w:val="008F4FFA"/>
    <w:rsid w:val="00901709"/>
    <w:rsid w:val="009027D3"/>
    <w:rsid w:val="009042BD"/>
    <w:rsid w:val="009105EF"/>
    <w:rsid w:val="00915D64"/>
    <w:rsid w:val="00916CCC"/>
    <w:rsid w:val="00920737"/>
    <w:rsid w:val="00922981"/>
    <w:rsid w:val="0092340B"/>
    <w:rsid w:val="009273BA"/>
    <w:rsid w:val="00935815"/>
    <w:rsid w:val="00936647"/>
    <w:rsid w:val="009475B6"/>
    <w:rsid w:val="0095560C"/>
    <w:rsid w:val="00956D22"/>
    <w:rsid w:val="009576F1"/>
    <w:rsid w:val="009606A3"/>
    <w:rsid w:val="00967205"/>
    <w:rsid w:val="00970EFA"/>
    <w:rsid w:val="00971BC7"/>
    <w:rsid w:val="009730A0"/>
    <w:rsid w:val="00976ABD"/>
    <w:rsid w:val="00977E1D"/>
    <w:rsid w:val="0098494A"/>
    <w:rsid w:val="0098559A"/>
    <w:rsid w:val="00987C99"/>
    <w:rsid w:val="00992706"/>
    <w:rsid w:val="00995CDA"/>
    <w:rsid w:val="009A35BF"/>
    <w:rsid w:val="009C3F63"/>
    <w:rsid w:val="009E0E4E"/>
    <w:rsid w:val="009F07EF"/>
    <w:rsid w:val="009F124A"/>
    <w:rsid w:val="009F5F69"/>
    <w:rsid w:val="009F6FCB"/>
    <w:rsid w:val="00A00B14"/>
    <w:rsid w:val="00A07149"/>
    <w:rsid w:val="00A11C28"/>
    <w:rsid w:val="00A15183"/>
    <w:rsid w:val="00A20564"/>
    <w:rsid w:val="00A20AD2"/>
    <w:rsid w:val="00A22B78"/>
    <w:rsid w:val="00A24290"/>
    <w:rsid w:val="00A24416"/>
    <w:rsid w:val="00A25AE5"/>
    <w:rsid w:val="00A31E13"/>
    <w:rsid w:val="00A329FE"/>
    <w:rsid w:val="00A35C49"/>
    <w:rsid w:val="00A37002"/>
    <w:rsid w:val="00A4139F"/>
    <w:rsid w:val="00A42FFF"/>
    <w:rsid w:val="00A43174"/>
    <w:rsid w:val="00A47B00"/>
    <w:rsid w:val="00A507F7"/>
    <w:rsid w:val="00A510EC"/>
    <w:rsid w:val="00A5311A"/>
    <w:rsid w:val="00A621FB"/>
    <w:rsid w:val="00A720B8"/>
    <w:rsid w:val="00A74E04"/>
    <w:rsid w:val="00A839E0"/>
    <w:rsid w:val="00A872CD"/>
    <w:rsid w:val="00A93261"/>
    <w:rsid w:val="00AA1B0E"/>
    <w:rsid w:val="00AB01C6"/>
    <w:rsid w:val="00AB53A1"/>
    <w:rsid w:val="00AC1E9A"/>
    <w:rsid w:val="00AC29D2"/>
    <w:rsid w:val="00AC4ABE"/>
    <w:rsid w:val="00AC5CA7"/>
    <w:rsid w:val="00AD3BDB"/>
    <w:rsid w:val="00AD6560"/>
    <w:rsid w:val="00AD718C"/>
    <w:rsid w:val="00AE56B1"/>
    <w:rsid w:val="00AE7297"/>
    <w:rsid w:val="00AF1751"/>
    <w:rsid w:val="00AF5E9D"/>
    <w:rsid w:val="00B03C53"/>
    <w:rsid w:val="00B1195F"/>
    <w:rsid w:val="00B20B2E"/>
    <w:rsid w:val="00B4217C"/>
    <w:rsid w:val="00B456B3"/>
    <w:rsid w:val="00B46BA8"/>
    <w:rsid w:val="00B50831"/>
    <w:rsid w:val="00B523AC"/>
    <w:rsid w:val="00B53A71"/>
    <w:rsid w:val="00B73862"/>
    <w:rsid w:val="00B7589A"/>
    <w:rsid w:val="00B76086"/>
    <w:rsid w:val="00B8273E"/>
    <w:rsid w:val="00B8281A"/>
    <w:rsid w:val="00B84C68"/>
    <w:rsid w:val="00B85E6A"/>
    <w:rsid w:val="00B86FB3"/>
    <w:rsid w:val="00B87D99"/>
    <w:rsid w:val="00B9004F"/>
    <w:rsid w:val="00BA114F"/>
    <w:rsid w:val="00BA1A22"/>
    <w:rsid w:val="00BA49C7"/>
    <w:rsid w:val="00BA6143"/>
    <w:rsid w:val="00BA6E48"/>
    <w:rsid w:val="00BA724E"/>
    <w:rsid w:val="00BB3A1B"/>
    <w:rsid w:val="00BB4042"/>
    <w:rsid w:val="00BD4241"/>
    <w:rsid w:val="00BD6823"/>
    <w:rsid w:val="00BF2218"/>
    <w:rsid w:val="00BF4347"/>
    <w:rsid w:val="00C00812"/>
    <w:rsid w:val="00C06217"/>
    <w:rsid w:val="00C10291"/>
    <w:rsid w:val="00C116ED"/>
    <w:rsid w:val="00C130C2"/>
    <w:rsid w:val="00C14138"/>
    <w:rsid w:val="00C150C5"/>
    <w:rsid w:val="00C260DF"/>
    <w:rsid w:val="00C27C64"/>
    <w:rsid w:val="00C30504"/>
    <w:rsid w:val="00C334C1"/>
    <w:rsid w:val="00C345C3"/>
    <w:rsid w:val="00C3471C"/>
    <w:rsid w:val="00C562E9"/>
    <w:rsid w:val="00C56E82"/>
    <w:rsid w:val="00C6725F"/>
    <w:rsid w:val="00C7214A"/>
    <w:rsid w:val="00C74887"/>
    <w:rsid w:val="00C805D0"/>
    <w:rsid w:val="00C85200"/>
    <w:rsid w:val="00C92C49"/>
    <w:rsid w:val="00C931A1"/>
    <w:rsid w:val="00CA27F1"/>
    <w:rsid w:val="00CB65AC"/>
    <w:rsid w:val="00CC48C0"/>
    <w:rsid w:val="00CC4957"/>
    <w:rsid w:val="00CC7CF8"/>
    <w:rsid w:val="00CD4038"/>
    <w:rsid w:val="00CD4622"/>
    <w:rsid w:val="00CD7492"/>
    <w:rsid w:val="00CE115C"/>
    <w:rsid w:val="00CE3A6B"/>
    <w:rsid w:val="00CF3B6A"/>
    <w:rsid w:val="00CF5776"/>
    <w:rsid w:val="00D00211"/>
    <w:rsid w:val="00D01E6E"/>
    <w:rsid w:val="00D05A22"/>
    <w:rsid w:val="00D06309"/>
    <w:rsid w:val="00D11B5C"/>
    <w:rsid w:val="00D14F63"/>
    <w:rsid w:val="00D15020"/>
    <w:rsid w:val="00D220C1"/>
    <w:rsid w:val="00D257A0"/>
    <w:rsid w:val="00D3088F"/>
    <w:rsid w:val="00D351EA"/>
    <w:rsid w:val="00D358A6"/>
    <w:rsid w:val="00D370D4"/>
    <w:rsid w:val="00D43403"/>
    <w:rsid w:val="00D448ED"/>
    <w:rsid w:val="00D54E41"/>
    <w:rsid w:val="00D56B5F"/>
    <w:rsid w:val="00D57DA9"/>
    <w:rsid w:val="00D60AC9"/>
    <w:rsid w:val="00D62E71"/>
    <w:rsid w:val="00D641AD"/>
    <w:rsid w:val="00D740CA"/>
    <w:rsid w:val="00D76E34"/>
    <w:rsid w:val="00D85728"/>
    <w:rsid w:val="00D86669"/>
    <w:rsid w:val="00DA172F"/>
    <w:rsid w:val="00DA2491"/>
    <w:rsid w:val="00DA49A4"/>
    <w:rsid w:val="00DB01E4"/>
    <w:rsid w:val="00DB32BB"/>
    <w:rsid w:val="00DB4870"/>
    <w:rsid w:val="00DB49BA"/>
    <w:rsid w:val="00DB607B"/>
    <w:rsid w:val="00DC1AEA"/>
    <w:rsid w:val="00DC7D81"/>
    <w:rsid w:val="00DD555A"/>
    <w:rsid w:val="00DD6DBA"/>
    <w:rsid w:val="00DD7199"/>
    <w:rsid w:val="00DE51FB"/>
    <w:rsid w:val="00DE605E"/>
    <w:rsid w:val="00DE6C43"/>
    <w:rsid w:val="00DE7942"/>
    <w:rsid w:val="00DF2997"/>
    <w:rsid w:val="00DF4B88"/>
    <w:rsid w:val="00E01C62"/>
    <w:rsid w:val="00E01DA7"/>
    <w:rsid w:val="00E02E87"/>
    <w:rsid w:val="00E053BB"/>
    <w:rsid w:val="00E1179B"/>
    <w:rsid w:val="00E27CA9"/>
    <w:rsid w:val="00E40819"/>
    <w:rsid w:val="00E46DD6"/>
    <w:rsid w:val="00E51440"/>
    <w:rsid w:val="00E57845"/>
    <w:rsid w:val="00E618C9"/>
    <w:rsid w:val="00E64C84"/>
    <w:rsid w:val="00E66B6B"/>
    <w:rsid w:val="00EA335F"/>
    <w:rsid w:val="00EB6201"/>
    <w:rsid w:val="00EB698F"/>
    <w:rsid w:val="00EC07F2"/>
    <w:rsid w:val="00EC70C2"/>
    <w:rsid w:val="00EC7BC3"/>
    <w:rsid w:val="00ED7599"/>
    <w:rsid w:val="00ED7600"/>
    <w:rsid w:val="00ED7E91"/>
    <w:rsid w:val="00EF0F2A"/>
    <w:rsid w:val="00EF1B44"/>
    <w:rsid w:val="00EF2A70"/>
    <w:rsid w:val="00EF2A9D"/>
    <w:rsid w:val="00EF7A08"/>
    <w:rsid w:val="00F04673"/>
    <w:rsid w:val="00F06EE7"/>
    <w:rsid w:val="00F1362C"/>
    <w:rsid w:val="00F14A3F"/>
    <w:rsid w:val="00F208B8"/>
    <w:rsid w:val="00F22AC3"/>
    <w:rsid w:val="00F231E7"/>
    <w:rsid w:val="00F261F2"/>
    <w:rsid w:val="00F26E26"/>
    <w:rsid w:val="00F31854"/>
    <w:rsid w:val="00F436E0"/>
    <w:rsid w:val="00F43AD9"/>
    <w:rsid w:val="00F461AC"/>
    <w:rsid w:val="00F46B5F"/>
    <w:rsid w:val="00F47434"/>
    <w:rsid w:val="00F5238D"/>
    <w:rsid w:val="00F62D9B"/>
    <w:rsid w:val="00F63675"/>
    <w:rsid w:val="00F73A2E"/>
    <w:rsid w:val="00F8100A"/>
    <w:rsid w:val="00F824F5"/>
    <w:rsid w:val="00F855DD"/>
    <w:rsid w:val="00F86F34"/>
    <w:rsid w:val="00F873FE"/>
    <w:rsid w:val="00F92BF4"/>
    <w:rsid w:val="00F957C3"/>
    <w:rsid w:val="00F96B3D"/>
    <w:rsid w:val="00FB7FAE"/>
    <w:rsid w:val="00FC29B9"/>
    <w:rsid w:val="00FC6FD3"/>
    <w:rsid w:val="00FD4155"/>
    <w:rsid w:val="00FD754F"/>
    <w:rsid w:val="00FE1190"/>
    <w:rsid w:val="00FE14B0"/>
    <w:rsid w:val="00FF5E71"/>
    <w:rsid w:val="00FF6F2E"/>
    <w:rsid w:val="00FF78E1"/>
    <w:rsid w:val="4F12330E"/>
    <w:rsid w:val="6DA93606"/>
    <w:rsid w:val="7D2EE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928"/>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qFormat/>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rsid w:val="004C6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74059694">
      <w:bodyDiv w:val="1"/>
      <w:marLeft w:val="0"/>
      <w:marRight w:val="0"/>
      <w:marTop w:val="0"/>
      <w:marBottom w:val="0"/>
      <w:divBdr>
        <w:top w:val="none" w:sz="0" w:space="0" w:color="auto"/>
        <w:left w:val="none" w:sz="0" w:space="0" w:color="auto"/>
        <w:bottom w:val="none" w:sz="0" w:space="0" w:color="auto"/>
        <w:right w:val="none" w:sz="0" w:space="0" w:color="auto"/>
      </w:divBdr>
      <w:divsChild>
        <w:div w:id="397674330">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218713001">
      <w:bodyDiv w:val="1"/>
      <w:marLeft w:val="0"/>
      <w:marRight w:val="0"/>
      <w:marTop w:val="0"/>
      <w:marBottom w:val="0"/>
      <w:divBdr>
        <w:top w:val="none" w:sz="0" w:space="0" w:color="auto"/>
        <w:left w:val="none" w:sz="0" w:space="0" w:color="auto"/>
        <w:bottom w:val="none" w:sz="0" w:space="0" w:color="auto"/>
        <w:right w:val="none" w:sz="0" w:space="0" w:color="auto"/>
      </w:divBdr>
      <w:divsChild>
        <w:div w:id="1021391509">
          <w:marLeft w:val="562"/>
          <w:marRight w:val="0"/>
          <w:marTop w:val="0"/>
          <w:marBottom w:val="0"/>
          <w:divBdr>
            <w:top w:val="none" w:sz="0" w:space="0" w:color="auto"/>
            <w:left w:val="none" w:sz="0" w:space="0" w:color="auto"/>
            <w:bottom w:val="none" w:sz="0" w:space="0" w:color="auto"/>
            <w:right w:val="none" w:sz="0" w:space="0" w:color="auto"/>
          </w:divBdr>
        </w:div>
      </w:divsChild>
    </w:div>
    <w:div w:id="266279792">
      <w:bodyDiv w:val="1"/>
      <w:marLeft w:val="0"/>
      <w:marRight w:val="0"/>
      <w:marTop w:val="0"/>
      <w:marBottom w:val="0"/>
      <w:divBdr>
        <w:top w:val="none" w:sz="0" w:space="0" w:color="auto"/>
        <w:left w:val="none" w:sz="0" w:space="0" w:color="auto"/>
        <w:bottom w:val="none" w:sz="0" w:space="0" w:color="auto"/>
        <w:right w:val="none" w:sz="0" w:space="0" w:color="auto"/>
      </w:divBdr>
    </w:div>
    <w:div w:id="303779579">
      <w:bodyDiv w:val="1"/>
      <w:marLeft w:val="0"/>
      <w:marRight w:val="0"/>
      <w:marTop w:val="0"/>
      <w:marBottom w:val="0"/>
      <w:divBdr>
        <w:top w:val="none" w:sz="0" w:space="0" w:color="auto"/>
        <w:left w:val="none" w:sz="0" w:space="0" w:color="auto"/>
        <w:bottom w:val="none" w:sz="0" w:space="0" w:color="auto"/>
        <w:right w:val="none" w:sz="0" w:space="0" w:color="auto"/>
      </w:divBdr>
      <w:divsChild>
        <w:div w:id="1760984098">
          <w:marLeft w:val="288"/>
          <w:marRight w:val="0"/>
          <w:marTop w:val="0"/>
          <w:marBottom w:val="60"/>
          <w:divBdr>
            <w:top w:val="none" w:sz="0" w:space="0" w:color="auto"/>
            <w:left w:val="none" w:sz="0" w:space="0" w:color="auto"/>
            <w:bottom w:val="none" w:sz="0" w:space="0" w:color="auto"/>
            <w:right w:val="none" w:sz="0" w:space="0" w:color="auto"/>
          </w:divBdr>
        </w:div>
        <w:div w:id="613899366">
          <w:marLeft w:val="562"/>
          <w:marRight w:val="0"/>
          <w:marTop w:val="0"/>
          <w:marBottom w:val="60"/>
          <w:divBdr>
            <w:top w:val="none" w:sz="0" w:space="0" w:color="auto"/>
            <w:left w:val="none" w:sz="0" w:space="0" w:color="auto"/>
            <w:bottom w:val="none" w:sz="0" w:space="0" w:color="auto"/>
            <w:right w:val="none" w:sz="0" w:space="0" w:color="auto"/>
          </w:divBdr>
        </w:div>
        <w:div w:id="25179672">
          <w:marLeft w:val="562"/>
          <w:marRight w:val="0"/>
          <w:marTop w:val="0"/>
          <w:marBottom w:val="60"/>
          <w:divBdr>
            <w:top w:val="none" w:sz="0" w:space="0" w:color="auto"/>
            <w:left w:val="none" w:sz="0" w:space="0" w:color="auto"/>
            <w:bottom w:val="none" w:sz="0" w:space="0" w:color="auto"/>
            <w:right w:val="none" w:sz="0" w:space="0" w:color="auto"/>
          </w:divBdr>
        </w:div>
        <w:div w:id="367032626">
          <w:marLeft w:val="562"/>
          <w:marRight w:val="0"/>
          <w:marTop w:val="0"/>
          <w:marBottom w:val="60"/>
          <w:divBdr>
            <w:top w:val="none" w:sz="0" w:space="0" w:color="auto"/>
            <w:left w:val="none" w:sz="0" w:space="0" w:color="auto"/>
            <w:bottom w:val="none" w:sz="0" w:space="0" w:color="auto"/>
            <w:right w:val="none" w:sz="0" w:space="0" w:color="auto"/>
          </w:divBdr>
        </w:div>
      </w:divsChild>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27903067">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89962712">
      <w:bodyDiv w:val="1"/>
      <w:marLeft w:val="0"/>
      <w:marRight w:val="0"/>
      <w:marTop w:val="0"/>
      <w:marBottom w:val="0"/>
      <w:divBdr>
        <w:top w:val="none" w:sz="0" w:space="0" w:color="auto"/>
        <w:left w:val="none" w:sz="0" w:space="0" w:color="auto"/>
        <w:bottom w:val="none" w:sz="0" w:space="0" w:color="auto"/>
        <w:right w:val="none" w:sz="0" w:space="0" w:color="auto"/>
      </w:divBdr>
      <w:divsChild>
        <w:div w:id="739987724">
          <w:marLeft w:val="562"/>
          <w:marRight w:val="0"/>
          <w:marTop w:val="0"/>
          <w:marBottom w:val="0"/>
          <w:divBdr>
            <w:top w:val="none" w:sz="0" w:space="0" w:color="auto"/>
            <w:left w:val="none" w:sz="0" w:space="0" w:color="auto"/>
            <w:bottom w:val="none" w:sz="0" w:space="0" w:color="auto"/>
            <w:right w:val="none" w:sz="0" w:space="0" w:color="auto"/>
          </w:divBdr>
        </w:div>
        <w:div w:id="1881699794">
          <w:marLeft w:val="562"/>
          <w:marRight w:val="0"/>
          <w:marTop w:val="0"/>
          <w:marBottom w:val="0"/>
          <w:divBdr>
            <w:top w:val="none" w:sz="0" w:space="0" w:color="auto"/>
            <w:left w:val="none" w:sz="0" w:space="0" w:color="auto"/>
            <w:bottom w:val="none" w:sz="0" w:space="0" w:color="auto"/>
            <w:right w:val="none" w:sz="0" w:space="0" w:color="auto"/>
          </w:divBdr>
        </w:div>
      </w:divsChild>
    </w:div>
    <w:div w:id="429857662">
      <w:bodyDiv w:val="1"/>
      <w:marLeft w:val="0"/>
      <w:marRight w:val="0"/>
      <w:marTop w:val="0"/>
      <w:marBottom w:val="0"/>
      <w:divBdr>
        <w:top w:val="none" w:sz="0" w:space="0" w:color="auto"/>
        <w:left w:val="none" w:sz="0" w:space="0" w:color="auto"/>
        <w:bottom w:val="none" w:sz="0" w:space="0" w:color="auto"/>
        <w:right w:val="none" w:sz="0" w:space="0" w:color="auto"/>
      </w:divBdr>
    </w:div>
    <w:div w:id="450438072">
      <w:bodyDiv w:val="1"/>
      <w:marLeft w:val="0"/>
      <w:marRight w:val="0"/>
      <w:marTop w:val="0"/>
      <w:marBottom w:val="0"/>
      <w:divBdr>
        <w:top w:val="none" w:sz="0" w:space="0" w:color="auto"/>
        <w:left w:val="none" w:sz="0" w:space="0" w:color="auto"/>
        <w:bottom w:val="none" w:sz="0" w:space="0" w:color="auto"/>
        <w:right w:val="none" w:sz="0" w:space="0" w:color="auto"/>
      </w:divBdr>
      <w:divsChild>
        <w:div w:id="782962479">
          <w:marLeft w:val="288"/>
          <w:marRight w:val="0"/>
          <w:marTop w:val="0"/>
          <w:marBottom w:val="60"/>
          <w:divBdr>
            <w:top w:val="none" w:sz="0" w:space="0" w:color="auto"/>
            <w:left w:val="none" w:sz="0" w:space="0" w:color="auto"/>
            <w:bottom w:val="none" w:sz="0" w:space="0" w:color="auto"/>
            <w:right w:val="none" w:sz="0" w:space="0" w:color="auto"/>
          </w:divBdr>
        </w:div>
        <w:div w:id="395200467">
          <w:marLeft w:val="562"/>
          <w:marRight w:val="0"/>
          <w:marTop w:val="0"/>
          <w:marBottom w:val="60"/>
          <w:divBdr>
            <w:top w:val="none" w:sz="0" w:space="0" w:color="auto"/>
            <w:left w:val="none" w:sz="0" w:space="0" w:color="auto"/>
            <w:bottom w:val="none" w:sz="0" w:space="0" w:color="auto"/>
            <w:right w:val="none" w:sz="0" w:space="0" w:color="auto"/>
          </w:divBdr>
        </w:div>
        <w:div w:id="1731418325">
          <w:marLeft w:val="562"/>
          <w:marRight w:val="0"/>
          <w:marTop w:val="0"/>
          <w:marBottom w:val="60"/>
          <w:divBdr>
            <w:top w:val="none" w:sz="0" w:space="0" w:color="auto"/>
            <w:left w:val="none" w:sz="0" w:space="0" w:color="auto"/>
            <w:bottom w:val="none" w:sz="0" w:space="0" w:color="auto"/>
            <w:right w:val="none" w:sz="0" w:space="0" w:color="auto"/>
          </w:divBdr>
        </w:div>
        <w:div w:id="1520242949">
          <w:marLeft w:val="562"/>
          <w:marRight w:val="0"/>
          <w:marTop w:val="0"/>
          <w:marBottom w:val="60"/>
          <w:divBdr>
            <w:top w:val="none" w:sz="0" w:space="0" w:color="auto"/>
            <w:left w:val="none" w:sz="0" w:space="0" w:color="auto"/>
            <w:bottom w:val="none" w:sz="0" w:space="0" w:color="auto"/>
            <w:right w:val="none" w:sz="0" w:space="0" w:color="auto"/>
          </w:divBdr>
        </w:div>
        <w:div w:id="175191701">
          <w:marLeft w:val="562"/>
          <w:marRight w:val="0"/>
          <w:marTop w:val="0"/>
          <w:marBottom w:val="60"/>
          <w:divBdr>
            <w:top w:val="none" w:sz="0" w:space="0" w:color="auto"/>
            <w:left w:val="none" w:sz="0" w:space="0" w:color="auto"/>
            <w:bottom w:val="none" w:sz="0" w:space="0" w:color="auto"/>
            <w:right w:val="none" w:sz="0" w:space="0" w:color="auto"/>
          </w:divBdr>
        </w:div>
      </w:divsChild>
    </w:div>
    <w:div w:id="480119462">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69273701">
      <w:bodyDiv w:val="1"/>
      <w:marLeft w:val="0"/>
      <w:marRight w:val="0"/>
      <w:marTop w:val="0"/>
      <w:marBottom w:val="0"/>
      <w:divBdr>
        <w:top w:val="none" w:sz="0" w:space="0" w:color="auto"/>
        <w:left w:val="none" w:sz="0" w:space="0" w:color="auto"/>
        <w:bottom w:val="none" w:sz="0" w:space="0" w:color="auto"/>
        <w:right w:val="none" w:sz="0" w:space="0" w:color="auto"/>
      </w:divBdr>
      <w:divsChild>
        <w:div w:id="1654601048">
          <w:marLeft w:val="1166"/>
          <w:marRight w:val="0"/>
          <w:marTop w:val="134"/>
          <w:marBottom w:val="0"/>
          <w:divBdr>
            <w:top w:val="none" w:sz="0" w:space="0" w:color="auto"/>
            <w:left w:val="none" w:sz="0" w:space="0" w:color="auto"/>
            <w:bottom w:val="none" w:sz="0" w:space="0" w:color="auto"/>
            <w:right w:val="none" w:sz="0" w:space="0" w:color="auto"/>
          </w:divBdr>
        </w:div>
        <w:div w:id="1538851124">
          <w:marLeft w:val="1166"/>
          <w:marRight w:val="0"/>
          <w:marTop w:val="134"/>
          <w:marBottom w:val="0"/>
          <w:divBdr>
            <w:top w:val="none" w:sz="0" w:space="0" w:color="auto"/>
            <w:left w:val="none" w:sz="0" w:space="0" w:color="auto"/>
            <w:bottom w:val="none" w:sz="0" w:space="0" w:color="auto"/>
            <w:right w:val="none" w:sz="0" w:space="0" w:color="auto"/>
          </w:divBdr>
        </w:div>
      </w:divsChild>
    </w:div>
    <w:div w:id="569508690">
      <w:bodyDiv w:val="1"/>
      <w:marLeft w:val="0"/>
      <w:marRight w:val="0"/>
      <w:marTop w:val="0"/>
      <w:marBottom w:val="0"/>
      <w:divBdr>
        <w:top w:val="none" w:sz="0" w:space="0" w:color="auto"/>
        <w:left w:val="none" w:sz="0" w:space="0" w:color="auto"/>
        <w:bottom w:val="none" w:sz="0" w:space="0" w:color="auto"/>
        <w:right w:val="none" w:sz="0" w:space="0" w:color="auto"/>
      </w:divBdr>
      <w:divsChild>
        <w:div w:id="32774122">
          <w:marLeft w:val="288"/>
          <w:marRight w:val="0"/>
          <w:marTop w:val="0"/>
          <w:marBottom w:val="60"/>
          <w:divBdr>
            <w:top w:val="none" w:sz="0" w:space="0" w:color="auto"/>
            <w:left w:val="none" w:sz="0" w:space="0" w:color="auto"/>
            <w:bottom w:val="none" w:sz="0" w:space="0" w:color="auto"/>
            <w:right w:val="none" w:sz="0" w:space="0" w:color="auto"/>
          </w:divBdr>
        </w:div>
        <w:div w:id="1124495653">
          <w:marLeft w:val="562"/>
          <w:marRight w:val="0"/>
          <w:marTop w:val="0"/>
          <w:marBottom w:val="60"/>
          <w:divBdr>
            <w:top w:val="none" w:sz="0" w:space="0" w:color="auto"/>
            <w:left w:val="none" w:sz="0" w:space="0" w:color="auto"/>
            <w:bottom w:val="none" w:sz="0" w:space="0" w:color="auto"/>
            <w:right w:val="none" w:sz="0" w:space="0" w:color="auto"/>
          </w:divBdr>
        </w:div>
        <w:div w:id="1963876081">
          <w:marLeft w:val="706"/>
          <w:marRight w:val="0"/>
          <w:marTop w:val="0"/>
          <w:marBottom w:val="60"/>
          <w:divBdr>
            <w:top w:val="none" w:sz="0" w:space="0" w:color="auto"/>
            <w:left w:val="none" w:sz="0" w:space="0" w:color="auto"/>
            <w:bottom w:val="none" w:sz="0" w:space="0" w:color="auto"/>
            <w:right w:val="none" w:sz="0" w:space="0" w:color="auto"/>
          </w:divBdr>
        </w:div>
        <w:div w:id="1147359001">
          <w:marLeft w:val="706"/>
          <w:marRight w:val="0"/>
          <w:marTop w:val="0"/>
          <w:marBottom w:val="60"/>
          <w:divBdr>
            <w:top w:val="none" w:sz="0" w:space="0" w:color="auto"/>
            <w:left w:val="none" w:sz="0" w:space="0" w:color="auto"/>
            <w:bottom w:val="none" w:sz="0" w:space="0" w:color="auto"/>
            <w:right w:val="none" w:sz="0" w:space="0" w:color="auto"/>
          </w:divBdr>
        </w:div>
        <w:div w:id="1291202109">
          <w:marLeft w:val="706"/>
          <w:marRight w:val="0"/>
          <w:marTop w:val="0"/>
          <w:marBottom w:val="60"/>
          <w:divBdr>
            <w:top w:val="none" w:sz="0" w:space="0" w:color="auto"/>
            <w:left w:val="none" w:sz="0" w:space="0" w:color="auto"/>
            <w:bottom w:val="none" w:sz="0" w:space="0" w:color="auto"/>
            <w:right w:val="none" w:sz="0" w:space="0" w:color="auto"/>
          </w:divBdr>
        </w:div>
        <w:div w:id="336541106">
          <w:marLeft w:val="706"/>
          <w:marRight w:val="0"/>
          <w:marTop w:val="0"/>
          <w:marBottom w:val="60"/>
          <w:divBdr>
            <w:top w:val="none" w:sz="0" w:space="0" w:color="auto"/>
            <w:left w:val="none" w:sz="0" w:space="0" w:color="auto"/>
            <w:bottom w:val="none" w:sz="0" w:space="0" w:color="auto"/>
            <w:right w:val="none" w:sz="0" w:space="0" w:color="auto"/>
          </w:divBdr>
        </w:div>
        <w:div w:id="998582747">
          <w:marLeft w:val="562"/>
          <w:marRight w:val="0"/>
          <w:marTop w:val="0"/>
          <w:marBottom w:val="60"/>
          <w:divBdr>
            <w:top w:val="none" w:sz="0" w:space="0" w:color="auto"/>
            <w:left w:val="none" w:sz="0" w:space="0" w:color="auto"/>
            <w:bottom w:val="none" w:sz="0" w:space="0" w:color="auto"/>
            <w:right w:val="none" w:sz="0" w:space="0" w:color="auto"/>
          </w:divBdr>
        </w:div>
        <w:div w:id="1865048376">
          <w:marLeft w:val="562"/>
          <w:marRight w:val="0"/>
          <w:marTop w:val="0"/>
          <w:marBottom w:val="60"/>
          <w:divBdr>
            <w:top w:val="none" w:sz="0" w:space="0" w:color="auto"/>
            <w:left w:val="none" w:sz="0" w:space="0" w:color="auto"/>
            <w:bottom w:val="none" w:sz="0" w:space="0" w:color="auto"/>
            <w:right w:val="none" w:sz="0" w:space="0" w:color="auto"/>
          </w:divBdr>
        </w:div>
        <w:div w:id="635136785">
          <w:marLeft w:val="202"/>
          <w:marRight w:val="0"/>
          <w:marTop w:val="0"/>
          <w:marBottom w:val="60"/>
          <w:divBdr>
            <w:top w:val="none" w:sz="0" w:space="0" w:color="auto"/>
            <w:left w:val="none" w:sz="0" w:space="0" w:color="auto"/>
            <w:bottom w:val="none" w:sz="0" w:space="0" w:color="auto"/>
            <w:right w:val="none" w:sz="0" w:space="0" w:color="auto"/>
          </w:divBdr>
        </w:div>
        <w:div w:id="1001542065">
          <w:marLeft w:val="562"/>
          <w:marRight w:val="0"/>
          <w:marTop w:val="0"/>
          <w:marBottom w:val="60"/>
          <w:divBdr>
            <w:top w:val="none" w:sz="0" w:space="0" w:color="auto"/>
            <w:left w:val="none" w:sz="0" w:space="0" w:color="auto"/>
            <w:bottom w:val="none" w:sz="0" w:space="0" w:color="auto"/>
            <w:right w:val="none" w:sz="0" w:space="0" w:color="auto"/>
          </w:divBdr>
        </w:div>
        <w:div w:id="714239800">
          <w:marLeft w:val="288"/>
          <w:marRight w:val="0"/>
          <w:marTop w:val="0"/>
          <w:marBottom w:val="60"/>
          <w:divBdr>
            <w:top w:val="none" w:sz="0" w:space="0" w:color="auto"/>
            <w:left w:val="none" w:sz="0" w:space="0" w:color="auto"/>
            <w:bottom w:val="none" w:sz="0" w:space="0" w:color="auto"/>
            <w:right w:val="none" w:sz="0" w:space="0" w:color="auto"/>
          </w:divBdr>
        </w:div>
        <w:div w:id="1635258958">
          <w:marLeft w:val="562"/>
          <w:marRight w:val="0"/>
          <w:marTop w:val="0"/>
          <w:marBottom w:val="60"/>
          <w:divBdr>
            <w:top w:val="none" w:sz="0" w:space="0" w:color="auto"/>
            <w:left w:val="none" w:sz="0" w:space="0" w:color="auto"/>
            <w:bottom w:val="none" w:sz="0" w:space="0" w:color="auto"/>
            <w:right w:val="none" w:sz="0" w:space="0" w:color="auto"/>
          </w:divBdr>
        </w:div>
        <w:div w:id="2090229728">
          <w:marLeft w:val="288"/>
          <w:marRight w:val="0"/>
          <w:marTop w:val="0"/>
          <w:marBottom w:val="60"/>
          <w:divBdr>
            <w:top w:val="none" w:sz="0" w:space="0" w:color="auto"/>
            <w:left w:val="none" w:sz="0" w:space="0" w:color="auto"/>
            <w:bottom w:val="none" w:sz="0" w:space="0" w:color="auto"/>
            <w:right w:val="none" w:sz="0" w:space="0" w:color="auto"/>
          </w:divBdr>
        </w:div>
        <w:div w:id="431900331">
          <w:marLeft w:val="562"/>
          <w:marRight w:val="0"/>
          <w:marTop w:val="0"/>
          <w:marBottom w:val="60"/>
          <w:divBdr>
            <w:top w:val="none" w:sz="0" w:space="0" w:color="auto"/>
            <w:left w:val="none" w:sz="0" w:space="0" w:color="auto"/>
            <w:bottom w:val="none" w:sz="0" w:space="0" w:color="auto"/>
            <w:right w:val="none" w:sz="0" w:space="0" w:color="auto"/>
          </w:divBdr>
        </w:div>
        <w:div w:id="1763061054">
          <w:marLeft w:val="562"/>
          <w:marRight w:val="0"/>
          <w:marTop w:val="0"/>
          <w:marBottom w:val="60"/>
          <w:divBdr>
            <w:top w:val="none" w:sz="0" w:space="0" w:color="auto"/>
            <w:left w:val="none" w:sz="0" w:space="0" w:color="auto"/>
            <w:bottom w:val="none" w:sz="0" w:space="0" w:color="auto"/>
            <w:right w:val="none" w:sz="0" w:space="0" w:color="auto"/>
          </w:divBdr>
        </w:div>
        <w:div w:id="921449647">
          <w:marLeft w:val="288"/>
          <w:marRight w:val="0"/>
          <w:marTop w:val="0"/>
          <w:marBottom w:val="60"/>
          <w:divBdr>
            <w:top w:val="none" w:sz="0" w:space="0" w:color="auto"/>
            <w:left w:val="none" w:sz="0" w:space="0" w:color="auto"/>
            <w:bottom w:val="none" w:sz="0" w:space="0" w:color="auto"/>
            <w:right w:val="none" w:sz="0" w:space="0" w:color="auto"/>
          </w:divBdr>
        </w:div>
        <w:div w:id="967708923">
          <w:marLeft w:val="562"/>
          <w:marRight w:val="0"/>
          <w:marTop w:val="0"/>
          <w:marBottom w:val="60"/>
          <w:divBdr>
            <w:top w:val="none" w:sz="0" w:space="0" w:color="auto"/>
            <w:left w:val="none" w:sz="0" w:space="0" w:color="auto"/>
            <w:bottom w:val="none" w:sz="0" w:space="0" w:color="auto"/>
            <w:right w:val="none" w:sz="0" w:space="0" w:color="auto"/>
          </w:divBdr>
        </w:div>
        <w:div w:id="2139178539">
          <w:marLeft w:val="288"/>
          <w:marRight w:val="0"/>
          <w:marTop w:val="0"/>
          <w:marBottom w:val="60"/>
          <w:divBdr>
            <w:top w:val="none" w:sz="0" w:space="0" w:color="auto"/>
            <w:left w:val="none" w:sz="0" w:space="0" w:color="auto"/>
            <w:bottom w:val="none" w:sz="0" w:space="0" w:color="auto"/>
            <w:right w:val="none" w:sz="0" w:space="0" w:color="auto"/>
          </w:divBdr>
        </w:div>
        <w:div w:id="1336229730">
          <w:marLeft w:val="562"/>
          <w:marRight w:val="0"/>
          <w:marTop w:val="0"/>
          <w:marBottom w:val="6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02747485">
      <w:bodyDiv w:val="1"/>
      <w:marLeft w:val="0"/>
      <w:marRight w:val="0"/>
      <w:marTop w:val="0"/>
      <w:marBottom w:val="0"/>
      <w:divBdr>
        <w:top w:val="none" w:sz="0" w:space="0" w:color="auto"/>
        <w:left w:val="none" w:sz="0" w:space="0" w:color="auto"/>
        <w:bottom w:val="none" w:sz="0" w:space="0" w:color="auto"/>
        <w:right w:val="none" w:sz="0" w:space="0" w:color="auto"/>
      </w:divBdr>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766192802">
      <w:bodyDiv w:val="1"/>
      <w:marLeft w:val="0"/>
      <w:marRight w:val="0"/>
      <w:marTop w:val="0"/>
      <w:marBottom w:val="0"/>
      <w:divBdr>
        <w:top w:val="none" w:sz="0" w:space="0" w:color="auto"/>
        <w:left w:val="none" w:sz="0" w:space="0" w:color="auto"/>
        <w:bottom w:val="none" w:sz="0" w:space="0" w:color="auto"/>
        <w:right w:val="none" w:sz="0" w:space="0" w:color="auto"/>
      </w:divBdr>
      <w:divsChild>
        <w:div w:id="1416710433">
          <w:marLeft w:val="562"/>
          <w:marRight w:val="0"/>
          <w:marTop w:val="0"/>
          <w:marBottom w:val="0"/>
          <w:divBdr>
            <w:top w:val="none" w:sz="0" w:space="0" w:color="auto"/>
            <w:left w:val="none" w:sz="0" w:space="0" w:color="auto"/>
            <w:bottom w:val="none" w:sz="0" w:space="0" w:color="auto"/>
            <w:right w:val="none" w:sz="0" w:space="0" w:color="auto"/>
          </w:divBdr>
        </w:div>
        <w:div w:id="547956587">
          <w:marLeft w:val="562"/>
          <w:marRight w:val="0"/>
          <w:marTop w:val="0"/>
          <w:marBottom w:val="0"/>
          <w:divBdr>
            <w:top w:val="none" w:sz="0" w:space="0" w:color="auto"/>
            <w:left w:val="none" w:sz="0" w:space="0" w:color="auto"/>
            <w:bottom w:val="none" w:sz="0" w:space="0" w:color="auto"/>
            <w:right w:val="none" w:sz="0" w:space="0" w:color="auto"/>
          </w:divBdr>
        </w:div>
        <w:div w:id="179659380">
          <w:marLeft w:val="562"/>
          <w:marRight w:val="0"/>
          <w:marTop w:val="0"/>
          <w:marBottom w:val="0"/>
          <w:divBdr>
            <w:top w:val="none" w:sz="0" w:space="0" w:color="auto"/>
            <w:left w:val="none" w:sz="0" w:space="0" w:color="auto"/>
            <w:bottom w:val="none" w:sz="0" w:space="0" w:color="auto"/>
            <w:right w:val="none" w:sz="0" w:space="0" w:color="auto"/>
          </w:divBdr>
        </w:div>
        <w:div w:id="1502546926">
          <w:marLeft w:val="562"/>
          <w:marRight w:val="0"/>
          <w:marTop w:val="0"/>
          <w:marBottom w:val="0"/>
          <w:divBdr>
            <w:top w:val="none" w:sz="0" w:space="0" w:color="auto"/>
            <w:left w:val="none" w:sz="0" w:space="0" w:color="auto"/>
            <w:bottom w:val="none" w:sz="0" w:space="0" w:color="auto"/>
            <w:right w:val="none" w:sz="0" w:space="0" w:color="auto"/>
          </w:divBdr>
        </w:div>
      </w:divsChild>
    </w:div>
    <w:div w:id="797072437">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45696569">
      <w:bodyDiv w:val="1"/>
      <w:marLeft w:val="0"/>
      <w:marRight w:val="0"/>
      <w:marTop w:val="0"/>
      <w:marBottom w:val="0"/>
      <w:divBdr>
        <w:top w:val="none" w:sz="0" w:space="0" w:color="auto"/>
        <w:left w:val="none" w:sz="0" w:space="0" w:color="auto"/>
        <w:bottom w:val="none" w:sz="0" w:space="0" w:color="auto"/>
        <w:right w:val="none" w:sz="0" w:space="0" w:color="auto"/>
      </w:divBdr>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69309122">
      <w:bodyDiv w:val="1"/>
      <w:marLeft w:val="0"/>
      <w:marRight w:val="0"/>
      <w:marTop w:val="0"/>
      <w:marBottom w:val="0"/>
      <w:divBdr>
        <w:top w:val="none" w:sz="0" w:space="0" w:color="auto"/>
        <w:left w:val="none" w:sz="0" w:space="0" w:color="auto"/>
        <w:bottom w:val="none" w:sz="0" w:space="0" w:color="auto"/>
        <w:right w:val="none" w:sz="0" w:space="0" w:color="auto"/>
      </w:divBdr>
      <w:divsChild>
        <w:div w:id="879245056">
          <w:marLeft w:val="562"/>
          <w:marRight w:val="0"/>
          <w:marTop w:val="0"/>
          <w:marBottom w:val="60"/>
          <w:divBdr>
            <w:top w:val="none" w:sz="0" w:space="0" w:color="auto"/>
            <w:left w:val="none" w:sz="0" w:space="0" w:color="auto"/>
            <w:bottom w:val="none" w:sz="0" w:space="0" w:color="auto"/>
            <w:right w:val="none" w:sz="0" w:space="0" w:color="auto"/>
          </w:divBdr>
        </w:div>
        <w:div w:id="935289831">
          <w:marLeft w:val="562"/>
          <w:marRight w:val="0"/>
          <w:marTop w:val="0"/>
          <w:marBottom w:val="6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03981479">
      <w:bodyDiv w:val="1"/>
      <w:marLeft w:val="0"/>
      <w:marRight w:val="0"/>
      <w:marTop w:val="0"/>
      <w:marBottom w:val="0"/>
      <w:divBdr>
        <w:top w:val="none" w:sz="0" w:space="0" w:color="auto"/>
        <w:left w:val="none" w:sz="0" w:space="0" w:color="auto"/>
        <w:bottom w:val="none" w:sz="0" w:space="0" w:color="auto"/>
        <w:right w:val="none" w:sz="0" w:space="0" w:color="auto"/>
      </w:divBdr>
      <w:divsChild>
        <w:div w:id="1071345423">
          <w:marLeft w:val="288"/>
          <w:marRight w:val="0"/>
          <w:marTop w:val="0"/>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0094448">
      <w:bodyDiv w:val="1"/>
      <w:marLeft w:val="0"/>
      <w:marRight w:val="0"/>
      <w:marTop w:val="0"/>
      <w:marBottom w:val="0"/>
      <w:divBdr>
        <w:top w:val="none" w:sz="0" w:space="0" w:color="auto"/>
        <w:left w:val="none" w:sz="0" w:space="0" w:color="auto"/>
        <w:bottom w:val="none" w:sz="0" w:space="0" w:color="auto"/>
        <w:right w:val="none" w:sz="0" w:space="0" w:color="auto"/>
      </w:divBdr>
      <w:divsChild>
        <w:div w:id="1685550497">
          <w:marLeft w:val="288"/>
          <w:marRight w:val="0"/>
          <w:marTop w:val="0"/>
          <w:marBottom w:val="0"/>
          <w:divBdr>
            <w:top w:val="none" w:sz="0" w:space="0" w:color="auto"/>
            <w:left w:val="none" w:sz="0" w:space="0" w:color="auto"/>
            <w:bottom w:val="none" w:sz="0" w:space="0" w:color="auto"/>
            <w:right w:val="none" w:sz="0" w:space="0" w:color="auto"/>
          </w:divBdr>
        </w:div>
      </w:divsChild>
    </w:div>
    <w:div w:id="1225291893">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48731541">
      <w:bodyDiv w:val="1"/>
      <w:marLeft w:val="0"/>
      <w:marRight w:val="0"/>
      <w:marTop w:val="0"/>
      <w:marBottom w:val="0"/>
      <w:divBdr>
        <w:top w:val="none" w:sz="0" w:space="0" w:color="auto"/>
        <w:left w:val="none" w:sz="0" w:space="0" w:color="auto"/>
        <w:bottom w:val="none" w:sz="0" w:space="0" w:color="auto"/>
        <w:right w:val="none" w:sz="0" w:space="0" w:color="auto"/>
      </w:divBdr>
      <w:divsChild>
        <w:div w:id="675035203">
          <w:marLeft w:val="562"/>
          <w:marRight w:val="0"/>
          <w:marTop w:val="0"/>
          <w:marBottom w:val="0"/>
          <w:divBdr>
            <w:top w:val="none" w:sz="0" w:space="0" w:color="auto"/>
            <w:left w:val="none" w:sz="0" w:space="0" w:color="auto"/>
            <w:bottom w:val="none" w:sz="0" w:space="0" w:color="auto"/>
            <w:right w:val="none" w:sz="0" w:space="0" w:color="auto"/>
          </w:divBdr>
        </w:div>
        <w:div w:id="568614614">
          <w:marLeft w:val="562"/>
          <w:marRight w:val="0"/>
          <w:marTop w:val="0"/>
          <w:marBottom w:val="0"/>
          <w:divBdr>
            <w:top w:val="none" w:sz="0" w:space="0" w:color="auto"/>
            <w:left w:val="none" w:sz="0" w:space="0" w:color="auto"/>
            <w:bottom w:val="none" w:sz="0" w:space="0" w:color="auto"/>
            <w:right w:val="none" w:sz="0" w:space="0" w:color="auto"/>
          </w:divBdr>
        </w:div>
        <w:div w:id="1229657275">
          <w:marLeft w:val="562"/>
          <w:marRight w:val="0"/>
          <w:marTop w:val="0"/>
          <w:marBottom w:val="0"/>
          <w:divBdr>
            <w:top w:val="none" w:sz="0" w:space="0" w:color="auto"/>
            <w:left w:val="none" w:sz="0" w:space="0" w:color="auto"/>
            <w:bottom w:val="none" w:sz="0" w:space="0" w:color="auto"/>
            <w:right w:val="none" w:sz="0" w:space="0" w:color="auto"/>
          </w:divBdr>
        </w:div>
        <w:div w:id="1290165490">
          <w:marLeft w:val="562"/>
          <w:marRight w:val="0"/>
          <w:marTop w:val="0"/>
          <w:marBottom w:val="0"/>
          <w:divBdr>
            <w:top w:val="none" w:sz="0" w:space="0" w:color="auto"/>
            <w:left w:val="none" w:sz="0" w:space="0" w:color="auto"/>
            <w:bottom w:val="none" w:sz="0" w:space="0" w:color="auto"/>
            <w:right w:val="none" w:sz="0" w:space="0" w:color="auto"/>
          </w:divBdr>
        </w:div>
        <w:div w:id="569316349">
          <w:marLeft w:val="562"/>
          <w:marRight w:val="0"/>
          <w:marTop w:val="0"/>
          <w:marBottom w:val="0"/>
          <w:divBdr>
            <w:top w:val="none" w:sz="0" w:space="0" w:color="auto"/>
            <w:left w:val="none" w:sz="0" w:space="0" w:color="auto"/>
            <w:bottom w:val="none" w:sz="0" w:space="0" w:color="auto"/>
            <w:right w:val="none" w:sz="0" w:space="0" w:color="auto"/>
          </w:divBdr>
        </w:div>
        <w:div w:id="207032850">
          <w:marLeft w:val="562"/>
          <w:marRight w:val="0"/>
          <w:marTop w:val="0"/>
          <w:marBottom w:val="0"/>
          <w:divBdr>
            <w:top w:val="none" w:sz="0" w:space="0" w:color="auto"/>
            <w:left w:val="none" w:sz="0" w:space="0" w:color="auto"/>
            <w:bottom w:val="none" w:sz="0" w:space="0" w:color="auto"/>
            <w:right w:val="none" w:sz="0" w:space="0" w:color="auto"/>
          </w:divBdr>
        </w:div>
      </w:divsChild>
    </w:div>
    <w:div w:id="1346328515">
      <w:bodyDiv w:val="1"/>
      <w:marLeft w:val="0"/>
      <w:marRight w:val="0"/>
      <w:marTop w:val="0"/>
      <w:marBottom w:val="0"/>
      <w:divBdr>
        <w:top w:val="none" w:sz="0" w:space="0" w:color="auto"/>
        <w:left w:val="none" w:sz="0" w:space="0" w:color="auto"/>
        <w:bottom w:val="none" w:sz="0" w:space="0" w:color="auto"/>
        <w:right w:val="none" w:sz="0" w:space="0" w:color="auto"/>
      </w:divBdr>
      <w:divsChild>
        <w:div w:id="1074282756">
          <w:marLeft w:val="562"/>
          <w:marRight w:val="0"/>
          <w:marTop w:val="0"/>
          <w:marBottom w:val="60"/>
          <w:divBdr>
            <w:top w:val="none" w:sz="0" w:space="0" w:color="auto"/>
            <w:left w:val="none" w:sz="0" w:space="0" w:color="auto"/>
            <w:bottom w:val="none" w:sz="0" w:space="0" w:color="auto"/>
            <w:right w:val="none" w:sz="0" w:space="0" w:color="auto"/>
          </w:divBdr>
        </w:div>
      </w:divsChild>
    </w:div>
    <w:div w:id="1366296297">
      <w:bodyDiv w:val="1"/>
      <w:marLeft w:val="0"/>
      <w:marRight w:val="0"/>
      <w:marTop w:val="0"/>
      <w:marBottom w:val="0"/>
      <w:divBdr>
        <w:top w:val="none" w:sz="0" w:space="0" w:color="auto"/>
        <w:left w:val="none" w:sz="0" w:space="0" w:color="auto"/>
        <w:bottom w:val="none" w:sz="0" w:space="0" w:color="auto"/>
        <w:right w:val="none" w:sz="0" w:space="0" w:color="auto"/>
      </w:divBdr>
      <w:divsChild>
        <w:div w:id="446436117">
          <w:marLeft w:val="547"/>
          <w:marRight w:val="0"/>
          <w:marTop w:val="144"/>
          <w:marBottom w:val="0"/>
          <w:divBdr>
            <w:top w:val="none" w:sz="0" w:space="0" w:color="auto"/>
            <w:left w:val="none" w:sz="0" w:space="0" w:color="auto"/>
            <w:bottom w:val="none" w:sz="0" w:space="0" w:color="auto"/>
            <w:right w:val="none" w:sz="0" w:space="0" w:color="auto"/>
          </w:divBdr>
        </w:div>
        <w:div w:id="858856102">
          <w:marLeft w:val="1166"/>
          <w:marRight w:val="0"/>
          <w:marTop w:val="125"/>
          <w:marBottom w:val="0"/>
          <w:divBdr>
            <w:top w:val="none" w:sz="0" w:space="0" w:color="auto"/>
            <w:left w:val="none" w:sz="0" w:space="0" w:color="auto"/>
            <w:bottom w:val="none" w:sz="0" w:space="0" w:color="auto"/>
            <w:right w:val="none" w:sz="0" w:space="0" w:color="auto"/>
          </w:divBdr>
        </w:div>
      </w:divsChild>
    </w:div>
    <w:div w:id="1375040525">
      <w:bodyDiv w:val="1"/>
      <w:marLeft w:val="0"/>
      <w:marRight w:val="0"/>
      <w:marTop w:val="0"/>
      <w:marBottom w:val="0"/>
      <w:divBdr>
        <w:top w:val="none" w:sz="0" w:space="0" w:color="auto"/>
        <w:left w:val="none" w:sz="0" w:space="0" w:color="auto"/>
        <w:bottom w:val="none" w:sz="0" w:space="0" w:color="auto"/>
        <w:right w:val="none" w:sz="0" w:space="0" w:color="auto"/>
      </w:divBdr>
      <w:divsChild>
        <w:div w:id="1484351179">
          <w:marLeft w:val="562"/>
          <w:marRight w:val="0"/>
          <w:marTop w:val="0"/>
          <w:marBottom w:val="60"/>
          <w:divBdr>
            <w:top w:val="none" w:sz="0" w:space="0" w:color="auto"/>
            <w:left w:val="none" w:sz="0" w:space="0" w:color="auto"/>
            <w:bottom w:val="none" w:sz="0" w:space="0" w:color="auto"/>
            <w:right w:val="none" w:sz="0" w:space="0" w:color="auto"/>
          </w:divBdr>
        </w:div>
        <w:div w:id="2031835301">
          <w:marLeft w:val="562"/>
          <w:marRight w:val="0"/>
          <w:marTop w:val="0"/>
          <w:marBottom w:val="60"/>
          <w:divBdr>
            <w:top w:val="none" w:sz="0" w:space="0" w:color="auto"/>
            <w:left w:val="none" w:sz="0" w:space="0" w:color="auto"/>
            <w:bottom w:val="none" w:sz="0" w:space="0" w:color="auto"/>
            <w:right w:val="none" w:sz="0" w:space="0" w:color="auto"/>
          </w:divBdr>
        </w:div>
        <w:div w:id="730081382">
          <w:marLeft w:val="562"/>
          <w:marRight w:val="0"/>
          <w:marTop w:val="0"/>
          <w:marBottom w:val="60"/>
          <w:divBdr>
            <w:top w:val="none" w:sz="0" w:space="0" w:color="auto"/>
            <w:left w:val="none" w:sz="0" w:space="0" w:color="auto"/>
            <w:bottom w:val="none" w:sz="0" w:space="0" w:color="auto"/>
            <w:right w:val="none" w:sz="0" w:space="0" w:color="auto"/>
          </w:divBdr>
        </w:div>
        <w:div w:id="2110200612">
          <w:marLeft w:val="562"/>
          <w:marRight w:val="0"/>
          <w:marTop w:val="0"/>
          <w:marBottom w:val="60"/>
          <w:divBdr>
            <w:top w:val="none" w:sz="0" w:space="0" w:color="auto"/>
            <w:left w:val="none" w:sz="0" w:space="0" w:color="auto"/>
            <w:bottom w:val="none" w:sz="0" w:space="0" w:color="auto"/>
            <w:right w:val="none" w:sz="0" w:space="0" w:color="auto"/>
          </w:divBdr>
        </w:div>
      </w:divsChild>
    </w:div>
    <w:div w:id="1380860770">
      <w:bodyDiv w:val="1"/>
      <w:marLeft w:val="0"/>
      <w:marRight w:val="0"/>
      <w:marTop w:val="0"/>
      <w:marBottom w:val="0"/>
      <w:divBdr>
        <w:top w:val="none" w:sz="0" w:space="0" w:color="auto"/>
        <w:left w:val="none" w:sz="0" w:space="0" w:color="auto"/>
        <w:bottom w:val="none" w:sz="0" w:space="0" w:color="auto"/>
        <w:right w:val="none" w:sz="0" w:space="0" w:color="auto"/>
      </w:divBdr>
      <w:divsChild>
        <w:div w:id="1634096456">
          <w:marLeft w:val="562"/>
          <w:marRight w:val="0"/>
          <w:marTop w:val="0"/>
          <w:marBottom w:val="0"/>
          <w:divBdr>
            <w:top w:val="none" w:sz="0" w:space="0" w:color="auto"/>
            <w:left w:val="none" w:sz="0" w:space="0" w:color="auto"/>
            <w:bottom w:val="none" w:sz="0" w:space="0" w:color="auto"/>
            <w:right w:val="none" w:sz="0" w:space="0" w:color="auto"/>
          </w:divBdr>
        </w:div>
      </w:divsChild>
    </w:div>
    <w:div w:id="1422145404">
      <w:bodyDiv w:val="1"/>
      <w:marLeft w:val="0"/>
      <w:marRight w:val="0"/>
      <w:marTop w:val="0"/>
      <w:marBottom w:val="0"/>
      <w:divBdr>
        <w:top w:val="none" w:sz="0" w:space="0" w:color="auto"/>
        <w:left w:val="none" w:sz="0" w:space="0" w:color="auto"/>
        <w:bottom w:val="none" w:sz="0" w:space="0" w:color="auto"/>
        <w:right w:val="none" w:sz="0" w:space="0" w:color="auto"/>
      </w:divBdr>
      <w:divsChild>
        <w:div w:id="1614707532">
          <w:marLeft w:val="562"/>
          <w:marRight w:val="0"/>
          <w:marTop w:val="0"/>
          <w:marBottom w:val="0"/>
          <w:divBdr>
            <w:top w:val="none" w:sz="0" w:space="0" w:color="auto"/>
            <w:left w:val="none" w:sz="0" w:space="0" w:color="auto"/>
            <w:bottom w:val="none" w:sz="0" w:space="0" w:color="auto"/>
            <w:right w:val="none" w:sz="0" w:space="0" w:color="auto"/>
          </w:divBdr>
        </w:div>
        <w:div w:id="1666980290">
          <w:marLeft w:val="562"/>
          <w:marRight w:val="0"/>
          <w:marTop w:val="0"/>
          <w:marBottom w:val="0"/>
          <w:divBdr>
            <w:top w:val="none" w:sz="0" w:space="0" w:color="auto"/>
            <w:left w:val="none" w:sz="0" w:space="0" w:color="auto"/>
            <w:bottom w:val="none" w:sz="0" w:space="0" w:color="auto"/>
            <w:right w:val="none" w:sz="0" w:space="0" w:color="auto"/>
          </w:divBdr>
        </w:div>
        <w:div w:id="1316490931">
          <w:marLeft w:val="562"/>
          <w:marRight w:val="0"/>
          <w:marTop w:val="0"/>
          <w:marBottom w:val="0"/>
          <w:divBdr>
            <w:top w:val="none" w:sz="0" w:space="0" w:color="auto"/>
            <w:left w:val="none" w:sz="0" w:space="0" w:color="auto"/>
            <w:bottom w:val="none" w:sz="0" w:space="0" w:color="auto"/>
            <w:right w:val="none" w:sz="0" w:space="0" w:color="auto"/>
          </w:divBdr>
        </w:div>
        <w:div w:id="2124230625">
          <w:marLeft w:val="562"/>
          <w:marRight w:val="0"/>
          <w:marTop w:val="0"/>
          <w:marBottom w:val="0"/>
          <w:divBdr>
            <w:top w:val="none" w:sz="0" w:space="0" w:color="auto"/>
            <w:left w:val="none" w:sz="0" w:space="0" w:color="auto"/>
            <w:bottom w:val="none" w:sz="0" w:space="0" w:color="auto"/>
            <w:right w:val="none" w:sz="0" w:space="0" w:color="auto"/>
          </w:divBdr>
        </w:div>
        <w:div w:id="779110349">
          <w:marLeft w:val="562"/>
          <w:marRight w:val="0"/>
          <w:marTop w:val="0"/>
          <w:marBottom w:val="0"/>
          <w:divBdr>
            <w:top w:val="none" w:sz="0" w:space="0" w:color="auto"/>
            <w:left w:val="none" w:sz="0" w:space="0" w:color="auto"/>
            <w:bottom w:val="none" w:sz="0" w:space="0" w:color="auto"/>
            <w:right w:val="none" w:sz="0" w:space="0" w:color="auto"/>
          </w:divBdr>
        </w:div>
        <w:div w:id="1516260783">
          <w:marLeft w:val="562"/>
          <w:marRight w:val="0"/>
          <w:marTop w:val="0"/>
          <w:marBottom w:val="0"/>
          <w:divBdr>
            <w:top w:val="none" w:sz="0" w:space="0" w:color="auto"/>
            <w:left w:val="none" w:sz="0" w:space="0" w:color="auto"/>
            <w:bottom w:val="none" w:sz="0" w:space="0" w:color="auto"/>
            <w:right w:val="none" w:sz="0" w:space="0" w:color="auto"/>
          </w:divBdr>
        </w:div>
        <w:div w:id="383140197">
          <w:marLeft w:val="562"/>
          <w:marRight w:val="0"/>
          <w:marTop w:val="0"/>
          <w:marBottom w:val="0"/>
          <w:divBdr>
            <w:top w:val="none" w:sz="0" w:space="0" w:color="auto"/>
            <w:left w:val="none" w:sz="0" w:space="0" w:color="auto"/>
            <w:bottom w:val="none" w:sz="0" w:space="0" w:color="auto"/>
            <w:right w:val="none" w:sz="0" w:space="0" w:color="auto"/>
          </w:divBdr>
        </w:div>
        <w:div w:id="55325872">
          <w:marLeft w:val="562"/>
          <w:marRight w:val="0"/>
          <w:marTop w:val="0"/>
          <w:marBottom w:val="0"/>
          <w:divBdr>
            <w:top w:val="none" w:sz="0" w:space="0" w:color="auto"/>
            <w:left w:val="none" w:sz="0" w:space="0" w:color="auto"/>
            <w:bottom w:val="none" w:sz="0" w:space="0" w:color="auto"/>
            <w:right w:val="none" w:sz="0" w:space="0" w:color="auto"/>
          </w:divBdr>
        </w:div>
      </w:divsChild>
    </w:div>
    <w:div w:id="1440369262">
      <w:bodyDiv w:val="1"/>
      <w:marLeft w:val="0"/>
      <w:marRight w:val="0"/>
      <w:marTop w:val="0"/>
      <w:marBottom w:val="0"/>
      <w:divBdr>
        <w:top w:val="none" w:sz="0" w:space="0" w:color="auto"/>
        <w:left w:val="none" w:sz="0" w:space="0" w:color="auto"/>
        <w:bottom w:val="none" w:sz="0" w:space="0" w:color="auto"/>
        <w:right w:val="none" w:sz="0" w:space="0" w:color="auto"/>
      </w:divBdr>
      <w:divsChild>
        <w:div w:id="91704878">
          <w:marLeft w:val="562"/>
          <w:marRight w:val="0"/>
          <w:marTop w:val="0"/>
          <w:marBottom w:val="60"/>
          <w:divBdr>
            <w:top w:val="none" w:sz="0" w:space="0" w:color="auto"/>
            <w:left w:val="none" w:sz="0" w:space="0" w:color="auto"/>
            <w:bottom w:val="none" w:sz="0" w:space="0" w:color="auto"/>
            <w:right w:val="none" w:sz="0" w:space="0" w:color="auto"/>
          </w:divBdr>
        </w:div>
      </w:divsChild>
    </w:div>
    <w:div w:id="1482386881">
      <w:bodyDiv w:val="1"/>
      <w:marLeft w:val="0"/>
      <w:marRight w:val="0"/>
      <w:marTop w:val="0"/>
      <w:marBottom w:val="0"/>
      <w:divBdr>
        <w:top w:val="none" w:sz="0" w:space="0" w:color="auto"/>
        <w:left w:val="none" w:sz="0" w:space="0" w:color="auto"/>
        <w:bottom w:val="none" w:sz="0" w:space="0" w:color="auto"/>
        <w:right w:val="none" w:sz="0" w:space="0" w:color="auto"/>
      </w:divBdr>
      <w:divsChild>
        <w:div w:id="1777629552">
          <w:marLeft w:val="288"/>
          <w:marRight w:val="0"/>
          <w:marTop w:val="0"/>
          <w:marBottom w:val="60"/>
          <w:divBdr>
            <w:top w:val="none" w:sz="0" w:space="0" w:color="auto"/>
            <w:left w:val="none" w:sz="0" w:space="0" w:color="auto"/>
            <w:bottom w:val="none" w:sz="0" w:space="0" w:color="auto"/>
            <w:right w:val="none" w:sz="0" w:space="0" w:color="auto"/>
          </w:divBdr>
        </w:div>
        <w:div w:id="795296302">
          <w:marLeft w:val="562"/>
          <w:marRight w:val="0"/>
          <w:marTop w:val="0"/>
          <w:marBottom w:val="60"/>
          <w:divBdr>
            <w:top w:val="none" w:sz="0" w:space="0" w:color="auto"/>
            <w:left w:val="none" w:sz="0" w:space="0" w:color="auto"/>
            <w:bottom w:val="none" w:sz="0" w:space="0" w:color="auto"/>
            <w:right w:val="none" w:sz="0" w:space="0" w:color="auto"/>
          </w:divBdr>
        </w:div>
        <w:div w:id="295337258">
          <w:marLeft w:val="562"/>
          <w:marRight w:val="0"/>
          <w:marTop w:val="0"/>
          <w:marBottom w:val="60"/>
          <w:divBdr>
            <w:top w:val="none" w:sz="0" w:space="0" w:color="auto"/>
            <w:left w:val="none" w:sz="0" w:space="0" w:color="auto"/>
            <w:bottom w:val="none" w:sz="0" w:space="0" w:color="auto"/>
            <w:right w:val="none" w:sz="0" w:space="0" w:color="auto"/>
          </w:divBdr>
        </w:div>
        <w:div w:id="1677927658">
          <w:marLeft w:val="562"/>
          <w:marRight w:val="0"/>
          <w:marTop w:val="0"/>
          <w:marBottom w:val="60"/>
          <w:divBdr>
            <w:top w:val="none" w:sz="0" w:space="0" w:color="auto"/>
            <w:left w:val="none" w:sz="0" w:space="0" w:color="auto"/>
            <w:bottom w:val="none" w:sz="0" w:space="0" w:color="auto"/>
            <w:right w:val="none" w:sz="0" w:space="0" w:color="auto"/>
          </w:divBdr>
        </w:div>
        <w:div w:id="249314871">
          <w:marLeft w:val="562"/>
          <w:marRight w:val="0"/>
          <w:marTop w:val="0"/>
          <w:marBottom w:val="60"/>
          <w:divBdr>
            <w:top w:val="none" w:sz="0" w:space="0" w:color="auto"/>
            <w:left w:val="none" w:sz="0" w:space="0" w:color="auto"/>
            <w:bottom w:val="none" w:sz="0" w:space="0" w:color="auto"/>
            <w:right w:val="none" w:sz="0" w:space="0" w:color="auto"/>
          </w:divBdr>
        </w:div>
      </w:divsChild>
    </w:div>
    <w:div w:id="1493831560">
      <w:bodyDiv w:val="1"/>
      <w:marLeft w:val="0"/>
      <w:marRight w:val="0"/>
      <w:marTop w:val="0"/>
      <w:marBottom w:val="0"/>
      <w:divBdr>
        <w:top w:val="none" w:sz="0" w:space="0" w:color="auto"/>
        <w:left w:val="none" w:sz="0" w:space="0" w:color="auto"/>
        <w:bottom w:val="none" w:sz="0" w:space="0" w:color="auto"/>
        <w:right w:val="none" w:sz="0" w:space="0" w:color="auto"/>
      </w:divBdr>
      <w:divsChild>
        <w:div w:id="371268939">
          <w:marLeft w:val="562"/>
          <w:marRight w:val="0"/>
          <w:marTop w:val="0"/>
          <w:marBottom w:val="0"/>
          <w:divBdr>
            <w:top w:val="none" w:sz="0" w:space="0" w:color="auto"/>
            <w:left w:val="none" w:sz="0" w:space="0" w:color="auto"/>
            <w:bottom w:val="none" w:sz="0" w:space="0" w:color="auto"/>
            <w:right w:val="none" w:sz="0" w:space="0" w:color="auto"/>
          </w:divBdr>
        </w:div>
        <w:div w:id="1056663605">
          <w:marLeft w:val="562"/>
          <w:marRight w:val="0"/>
          <w:marTop w:val="0"/>
          <w:marBottom w:val="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554779975">
      <w:bodyDiv w:val="1"/>
      <w:marLeft w:val="0"/>
      <w:marRight w:val="0"/>
      <w:marTop w:val="0"/>
      <w:marBottom w:val="0"/>
      <w:divBdr>
        <w:top w:val="none" w:sz="0" w:space="0" w:color="auto"/>
        <w:left w:val="none" w:sz="0" w:space="0" w:color="auto"/>
        <w:bottom w:val="none" w:sz="0" w:space="0" w:color="auto"/>
        <w:right w:val="none" w:sz="0" w:space="0" w:color="auto"/>
      </w:divBdr>
      <w:divsChild>
        <w:div w:id="1298074280">
          <w:marLeft w:val="562"/>
          <w:marRight w:val="0"/>
          <w:marTop w:val="0"/>
          <w:marBottom w:val="60"/>
          <w:divBdr>
            <w:top w:val="none" w:sz="0" w:space="0" w:color="auto"/>
            <w:left w:val="none" w:sz="0" w:space="0" w:color="auto"/>
            <w:bottom w:val="none" w:sz="0" w:space="0" w:color="auto"/>
            <w:right w:val="none" w:sz="0" w:space="0" w:color="auto"/>
          </w:divBdr>
        </w:div>
      </w:divsChild>
    </w:div>
    <w:div w:id="1559051055">
      <w:bodyDiv w:val="1"/>
      <w:marLeft w:val="0"/>
      <w:marRight w:val="0"/>
      <w:marTop w:val="0"/>
      <w:marBottom w:val="0"/>
      <w:divBdr>
        <w:top w:val="none" w:sz="0" w:space="0" w:color="auto"/>
        <w:left w:val="none" w:sz="0" w:space="0" w:color="auto"/>
        <w:bottom w:val="none" w:sz="0" w:space="0" w:color="auto"/>
        <w:right w:val="none" w:sz="0" w:space="0" w:color="auto"/>
      </w:divBdr>
      <w:divsChild>
        <w:div w:id="594244845">
          <w:marLeft w:val="562"/>
          <w:marRight w:val="0"/>
          <w:marTop w:val="0"/>
          <w:marBottom w:val="0"/>
          <w:divBdr>
            <w:top w:val="none" w:sz="0" w:space="0" w:color="auto"/>
            <w:left w:val="none" w:sz="0" w:space="0" w:color="auto"/>
            <w:bottom w:val="none" w:sz="0" w:space="0" w:color="auto"/>
            <w:right w:val="none" w:sz="0" w:space="0" w:color="auto"/>
          </w:divBdr>
        </w:div>
      </w:divsChild>
    </w:div>
    <w:div w:id="1588463569">
      <w:bodyDiv w:val="1"/>
      <w:marLeft w:val="0"/>
      <w:marRight w:val="0"/>
      <w:marTop w:val="0"/>
      <w:marBottom w:val="0"/>
      <w:divBdr>
        <w:top w:val="none" w:sz="0" w:space="0" w:color="auto"/>
        <w:left w:val="none" w:sz="0" w:space="0" w:color="auto"/>
        <w:bottom w:val="none" w:sz="0" w:space="0" w:color="auto"/>
        <w:right w:val="none" w:sz="0" w:space="0" w:color="auto"/>
      </w:divBdr>
      <w:divsChild>
        <w:div w:id="414480562">
          <w:marLeft w:val="288"/>
          <w:marRight w:val="0"/>
          <w:marTop w:val="0"/>
          <w:marBottom w:val="60"/>
          <w:divBdr>
            <w:top w:val="none" w:sz="0" w:space="0" w:color="auto"/>
            <w:left w:val="none" w:sz="0" w:space="0" w:color="auto"/>
            <w:bottom w:val="none" w:sz="0" w:space="0" w:color="auto"/>
            <w:right w:val="none" w:sz="0" w:space="0" w:color="auto"/>
          </w:divBdr>
        </w:div>
        <w:div w:id="1776438420">
          <w:marLeft w:val="562"/>
          <w:marRight w:val="0"/>
          <w:marTop w:val="0"/>
          <w:marBottom w:val="60"/>
          <w:divBdr>
            <w:top w:val="none" w:sz="0" w:space="0" w:color="auto"/>
            <w:left w:val="none" w:sz="0" w:space="0" w:color="auto"/>
            <w:bottom w:val="none" w:sz="0" w:space="0" w:color="auto"/>
            <w:right w:val="none" w:sz="0" w:space="0" w:color="auto"/>
          </w:divBdr>
        </w:div>
        <w:div w:id="1652637735">
          <w:marLeft w:val="562"/>
          <w:marRight w:val="0"/>
          <w:marTop w:val="0"/>
          <w:marBottom w:val="60"/>
          <w:divBdr>
            <w:top w:val="none" w:sz="0" w:space="0" w:color="auto"/>
            <w:left w:val="none" w:sz="0" w:space="0" w:color="auto"/>
            <w:bottom w:val="none" w:sz="0" w:space="0" w:color="auto"/>
            <w:right w:val="none" w:sz="0" w:space="0" w:color="auto"/>
          </w:divBdr>
        </w:div>
        <w:div w:id="1174296717">
          <w:marLeft w:val="562"/>
          <w:marRight w:val="0"/>
          <w:marTop w:val="0"/>
          <w:marBottom w:val="60"/>
          <w:divBdr>
            <w:top w:val="none" w:sz="0" w:space="0" w:color="auto"/>
            <w:left w:val="none" w:sz="0" w:space="0" w:color="auto"/>
            <w:bottom w:val="none" w:sz="0" w:space="0" w:color="auto"/>
            <w:right w:val="none" w:sz="0" w:space="0" w:color="auto"/>
          </w:divBdr>
        </w:div>
        <w:div w:id="2101901363">
          <w:marLeft w:val="562"/>
          <w:marRight w:val="0"/>
          <w:marTop w:val="0"/>
          <w:marBottom w:val="60"/>
          <w:divBdr>
            <w:top w:val="none" w:sz="0" w:space="0" w:color="auto"/>
            <w:left w:val="none" w:sz="0" w:space="0" w:color="auto"/>
            <w:bottom w:val="none" w:sz="0" w:space="0" w:color="auto"/>
            <w:right w:val="none" w:sz="0" w:space="0" w:color="auto"/>
          </w:divBdr>
        </w:div>
      </w:divsChild>
    </w:div>
    <w:div w:id="1643537095">
      <w:bodyDiv w:val="1"/>
      <w:marLeft w:val="0"/>
      <w:marRight w:val="0"/>
      <w:marTop w:val="0"/>
      <w:marBottom w:val="0"/>
      <w:divBdr>
        <w:top w:val="none" w:sz="0" w:space="0" w:color="auto"/>
        <w:left w:val="none" w:sz="0" w:space="0" w:color="auto"/>
        <w:bottom w:val="none" w:sz="0" w:space="0" w:color="auto"/>
        <w:right w:val="none" w:sz="0" w:space="0" w:color="auto"/>
      </w:divBdr>
      <w:divsChild>
        <w:div w:id="1024281768">
          <w:marLeft w:val="547"/>
          <w:marRight w:val="0"/>
          <w:marTop w:val="96"/>
          <w:marBottom w:val="0"/>
          <w:divBdr>
            <w:top w:val="none" w:sz="0" w:space="0" w:color="auto"/>
            <w:left w:val="none" w:sz="0" w:space="0" w:color="auto"/>
            <w:bottom w:val="none" w:sz="0" w:space="0" w:color="auto"/>
            <w:right w:val="none" w:sz="0" w:space="0" w:color="auto"/>
          </w:divBdr>
        </w:div>
      </w:divsChild>
    </w:div>
    <w:div w:id="1673874081">
      <w:bodyDiv w:val="1"/>
      <w:marLeft w:val="0"/>
      <w:marRight w:val="0"/>
      <w:marTop w:val="0"/>
      <w:marBottom w:val="0"/>
      <w:divBdr>
        <w:top w:val="none" w:sz="0" w:space="0" w:color="auto"/>
        <w:left w:val="none" w:sz="0" w:space="0" w:color="auto"/>
        <w:bottom w:val="none" w:sz="0" w:space="0" w:color="auto"/>
        <w:right w:val="none" w:sz="0" w:space="0" w:color="auto"/>
      </w:divBdr>
      <w:divsChild>
        <w:div w:id="1003359222">
          <w:marLeft w:val="288"/>
          <w:marRight w:val="0"/>
          <w:marTop w:val="0"/>
          <w:marBottom w:val="60"/>
          <w:divBdr>
            <w:top w:val="none" w:sz="0" w:space="0" w:color="auto"/>
            <w:left w:val="none" w:sz="0" w:space="0" w:color="auto"/>
            <w:bottom w:val="none" w:sz="0" w:space="0" w:color="auto"/>
            <w:right w:val="none" w:sz="0" w:space="0" w:color="auto"/>
          </w:divBdr>
        </w:div>
        <w:div w:id="646864330">
          <w:marLeft w:val="562"/>
          <w:marRight w:val="0"/>
          <w:marTop w:val="0"/>
          <w:marBottom w:val="60"/>
          <w:divBdr>
            <w:top w:val="none" w:sz="0" w:space="0" w:color="auto"/>
            <w:left w:val="none" w:sz="0" w:space="0" w:color="auto"/>
            <w:bottom w:val="none" w:sz="0" w:space="0" w:color="auto"/>
            <w:right w:val="none" w:sz="0" w:space="0" w:color="auto"/>
          </w:divBdr>
        </w:div>
        <w:div w:id="1237284022">
          <w:marLeft w:val="562"/>
          <w:marRight w:val="0"/>
          <w:marTop w:val="0"/>
          <w:marBottom w:val="60"/>
          <w:divBdr>
            <w:top w:val="none" w:sz="0" w:space="0" w:color="auto"/>
            <w:left w:val="none" w:sz="0" w:space="0" w:color="auto"/>
            <w:bottom w:val="none" w:sz="0" w:space="0" w:color="auto"/>
            <w:right w:val="none" w:sz="0" w:space="0" w:color="auto"/>
          </w:divBdr>
        </w:div>
        <w:div w:id="1316564174">
          <w:marLeft w:val="562"/>
          <w:marRight w:val="0"/>
          <w:marTop w:val="0"/>
          <w:marBottom w:val="6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696466502">
      <w:bodyDiv w:val="1"/>
      <w:marLeft w:val="0"/>
      <w:marRight w:val="0"/>
      <w:marTop w:val="0"/>
      <w:marBottom w:val="0"/>
      <w:divBdr>
        <w:top w:val="none" w:sz="0" w:space="0" w:color="auto"/>
        <w:left w:val="none" w:sz="0" w:space="0" w:color="auto"/>
        <w:bottom w:val="none" w:sz="0" w:space="0" w:color="auto"/>
        <w:right w:val="none" w:sz="0" w:space="0" w:color="auto"/>
      </w:divBdr>
      <w:divsChild>
        <w:div w:id="1257862909">
          <w:marLeft w:val="1166"/>
          <w:marRight w:val="0"/>
          <w:marTop w:val="13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 w:id="1954241648">
      <w:bodyDiv w:val="1"/>
      <w:marLeft w:val="0"/>
      <w:marRight w:val="0"/>
      <w:marTop w:val="0"/>
      <w:marBottom w:val="0"/>
      <w:divBdr>
        <w:top w:val="none" w:sz="0" w:space="0" w:color="auto"/>
        <w:left w:val="none" w:sz="0" w:space="0" w:color="auto"/>
        <w:bottom w:val="none" w:sz="0" w:space="0" w:color="auto"/>
        <w:right w:val="none" w:sz="0" w:space="0" w:color="auto"/>
      </w:divBdr>
    </w:div>
    <w:div w:id="2008633609">
      <w:bodyDiv w:val="1"/>
      <w:marLeft w:val="0"/>
      <w:marRight w:val="0"/>
      <w:marTop w:val="0"/>
      <w:marBottom w:val="0"/>
      <w:divBdr>
        <w:top w:val="none" w:sz="0" w:space="0" w:color="auto"/>
        <w:left w:val="none" w:sz="0" w:space="0" w:color="auto"/>
        <w:bottom w:val="none" w:sz="0" w:space="0" w:color="auto"/>
        <w:right w:val="none" w:sz="0" w:space="0" w:color="auto"/>
      </w:divBdr>
    </w:div>
    <w:div w:id="2044359861">
      <w:bodyDiv w:val="1"/>
      <w:marLeft w:val="0"/>
      <w:marRight w:val="0"/>
      <w:marTop w:val="0"/>
      <w:marBottom w:val="0"/>
      <w:divBdr>
        <w:top w:val="none" w:sz="0" w:space="0" w:color="auto"/>
        <w:left w:val="none" w:sz="0" w:space="0" w:color="auto"/>
        <w:bottom w:val="none" w:sz="0" w:space="0" w:color="auto"/>
        <w:right w:val="none" w:sz="0" w:space="0" w:color="auto"/>
      </w:divBdr>
      <w:divsChild>
        <w:div w:id="1775126406">
          <w:marLeft w:val="922"/>
          <w:marRight w:val="0"/>
          <w:marTop w:val="0"/>
          <w:marBottom w:val="20"/>
          <w:divBdr>
            <w:top w:val="none" w:sz="0" w:space="0" w:color="auto"/>
            <w:left w:val="none" w:sz="0" w:space="0" w:color="auto"/>
            <w:bottom w:val="none" w:sz="0" w:space="0" w:color="auto"/>
            <w:right w:val="none" w:sz="0" w:space="0" w:color="auto"/>
          </w:divBdr>
        </w:div>
      </w:divsChild>
    </w:div>
    <w:div w:id="2056351473">
      <w:bodyDiv w:val="1"/>
      <w:marLeft w:val="0"/>
      <w:marRight w:val="0"/>
      <w:marTop w:val="0"/>
      <w:marBottom w:val="0"/>
      <w:divBdr>
        <w:top w:val="none" w:sz="0" w:space="0" w:color="auto"/>
        <w:left w:val="none" w:sz="0" w:space="0" w:color="auto"/>
        <w:bottom w:val="none" w:sz="0" w:space="0" w:color="auto"/>
        <w:right w:val="none" w:sz="0" w:space="0" w:color="auto"/>
      </w:divBdr>
      <w:divsChild>
        <w:div w:id="276715249">
          <w:marLeft w:val="547"/>
          <w:marRight w:val="0"/>
          <w:marTop w:val="96"/>
          <w:marBottom w:val="0"/>
          <w:divBdr>
            <w:top w:val="none" w:sz="0" w:space="0" w:color="auto"/>
            <w:left w:val="none" w:sz="0" w:space="0" w:color="auto"/>
            <w:bottom w:val="none" w:sz="0" w:space="0" w:color="auto"/>
            <w:right w:val="none" w:sz="0" w:space="0" w:color="auto"/>
          </w:divBdr>
        </w:div>
      </w:divsChild>
    </w:div>
    <w:div w:id="2077391985">
      <w:bodyDiv w:val="1"/>
      <w:marLeft w:val="0"/>
      <w:marRight w:val="0"/>
      <w:marTop w:val="0"/>
      <w:marBottom w:val="0"/>
      <w:divBdr>
        <w:top w:val="none" w:sz="0" w:space="0" w:color="auto"/>
        <w:left w:val="none" w:sz="0" w:space="0" w:color="auto"/>
        <w:bottom w:val="none" w:sz="0" w:space="0" w:color="auto"/>
        <w:right w:val="none" w:sz="0" w:space="0" w:color="auto"/>
      </w:divBdr>
      <w:divsChild>
        <w:div w:id="653142022">
          <w:marLeft w:val="547"/>
          <w:marRight w:val="0"/>
          <w:marTop w:val="130"/>
          <w:marBottom w:val="0"/>
          <w:divBdr>
            <w:top w:val="none" w:sz="0" w:space="0" w:color="auto"/>
            <w:left w:val="none" w:sz="0" w:space="0" w:color="auto"/>
            <w:bottom w:val="none" w:sz="0" w:space="0" w:color="auto"/>
            <w:right w:val="none" w:sz="0" w:space="0" w:color="auto"/>
          </w:divBdr>
        </w:div>
      </w:divsChild>
    </w:div>
    <w:div w:id="21389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5AIRPNAIUNRU-1328258698-4365</_dlc_DocId>
    <_dlc_DocIdUrl xmlns="71c5aaf6-e6ce-465b-b873-5148d2a4c105">
      <Url>https://nokia.sharepoint.com/sites/c5g/5gradio/_layouts/15/DocIdRedir.aspx?ID=5AIRPNAIUNRU-1328258698-4365</Url>
      <Description>5AIRPNAIUNRU-1328258698-4365</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FC9B28-5569-4A34-8D62-CA765BF629E3}">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3.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customXml/itemProps4.xml><?xml version="1.0" encoding="utf-8"?>
<ds:datastoreItem xmlns:ds="http://schemas.openxmlformats.org/officeDocument/2006/customXml" ds:itemID="{2E01FD78-BE28-4F8B-83EF-750AAF52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6.xml><?xml version="1.0" encoding="utf-8"?>
<ds:datastoreItem xmlns:ds="http://schemas.openxmlformats.org/officeDocument/2006/customXml" ds:itemID="{594721BF-617F-4D15-BB0F-95F09DE9F1E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6</Pages>
  <Words>2071</Words>
  <Characters>11810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Discussion on Network Controlled Small Gaps for NR</vt:lpstr>
    </vt:vector>
  </TitlesOfParts>
  <Company/>
  <LinksUpToDate>false</LinksUpToDate>
  <CharactersWithSpaces>13854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Network Controlled Small Gaps for NR</dc:title>
  <dc:subject/>
  <dc:creator>Nokia</dc:creator>
  <cp:keywords/>
  <dc:description/>
  <cp:lastModifiedBy>Juergen Hofmann</cp:lastModifiedBy>
  <cp:revision>9</cp:revision>
  <dcterms:created xsi:type="dcterms:W3CDTF">2021-10-22T21:14:00Z</dcterms:created>
  <dcterms:modified xsi:type="dcterms:W3CDTF">2022-01-10T22:12:00Z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6df8e687-83f5-4783-a40f-16b65140b5df</vt:lpwstr>
  </property>
</Properties>
</file>